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C01" w:rsidRPr="00FB60CF" w:rsidRDefault="00193159" w:rsidP="00635B9D">
      <w:pPr>
        <w:rPr>
          <w:rFonts w:asciiTheme="majorHAnsi" w:hAnsiTheme="majorHAnsi"/>
        </w:rPr>
      </w:pPr>
      <w:r w:rsidRPr="00FB60CF">
        <w:rPr>
          <w:rFonts w:asciiTheme="majorHAnsi" w:hAnsiTheme="majorHAnsi"/>
        </w:rPr>
        <w:t>1</w:t>
      </w:r>
      <w:r w:rsidR="00944EA9" w:rsidRPr="00FB60CF">
        <w:rPr>
          <w:rFonts w:asciiTheme="majorHAnsi" w:hAnsiTheme="majorHAnsi"/>
        </w:rPr>
        <w:t>8</w:t>
      </w:r>
      <w:r w:rsidR="00AB06FA" w:rsidRPr="00FB60CF">
        <w:rPr>
          <w:rFonts w:asciiTheme="majorHAnsi" w:hAnsiTheme="majorHAnsi"/>
        </w:rPr>
        <w:t>/0</w:t>
      </w:r>
      <w:r w:rsidRPr="00FB60CF">
        <w:rPr>
          <w:rFonts w:asciiTheme="majorHAnsi" w:hAnsiTheme="majorHAnsi"/>
        </w:rPr>
        <w:t>7/2017</w:t>
      </w:r>
    </w:p>
    <w:p w:rsidR="00475FE4" w:rsidRPr="00FB60CF" w:rsidRDefault="00475FE4" w:rsidP="00475FE4">
      <w:pPr>
        <w:jc w:val="center"/>
        <w:rPr>
          <w:rFonts w:asciiTheme="majorHAnsi" w:hAnsiTheme="majorHAnsi"/>
        </w:rPr>
      </w:pPr>
      <w:r w:rsidRPr="00FB60CF">
        <w:rPr>
          <w:rFonts w:asciiTheme="majorHAnsi" w:hAnsiTheme="majorHAnsi"/>
        </w:rPr>
        <w:t>10</w:t>
      </w:r>
      <w:r w:rsidRPr="00FB60CF">
        <w:rPr>
          <w:rFonts w:asciiTheme="majorHAnsi" w:hAnsiTheme="majorHAnsi"/>
          <w:vertAlign w:val="superscript"/>
        </w:rPr>
        <w:t>ème</w:t>
      </w:r>
      <w:r w:rsidRPr="00FB60CF">
        <w:rPr>
          <w:rFonts w:asciiTheme="majorHAnsi" w:hAnsiTheme="majorHAnsi"/>
        </w:rPr>
        <w:t xml:space="preserve"> Assemblée générale de l’AFAPDP</w:t>
      </w:r>
    </w:p>
    <w:p w:rsidR="00475FE4" w:rsidRPr="00B36552" w:rsidRDefault="00B36552" w:rsidP="00B36552">
      <w:pPr>
        <w:jc w:val="center"/>
        <w:rPr>
          <w:rFonts w:asciiTheme="majorHAnsi" w:hAnsiTheme="majorHAnsi"/>
          <w:b/>
          <w:color w:val="FF0000"/>
        </w:rPr>
      </w:pPr>
      <w:r w:rsidRPr="00B36552">
        <w:rPr>
          <w:rFonts w:asciiTheme="majorHAnsi" w:hAnsiTheme="majorHAnsi"/>
          <w:b/>
          <w:color w:val="FF0000"/>
        </w:rPr>
        <w:t xml:space="preserve">Adopté le </w:t>
      </w:r>
      <w:r w:rsidR="00475FE4" w:rsidRPr="00B36552">
        <w:rPr>
          <w:rFonts w:asciiTheme="majorHAnsi" w:hAnsiTheme="majorHAnsi"/>
          <w:b/>
          <w:color w:val="FF0000"/>
        </w:rPr>
        <w:t>05 septembre 2017</w:t>
      </w:r>
      <w:r w:rsidRPr="00B36552">
        <w:rPr>
          <w:rFonts w:asciiTheme="majorHAnsi" w:hAnsiTheme="majorHAnsi"/>
          <w:b/>
          <w:color w:val="FF0000"/>
        </w:rPr>
        <w:t xml:space="preserve"> à </w:t>
      </w:r>
      <w:r w:rsidR="00475FE4" w:rsidRPr="00B36552">
        <w:rPr>
          <w:rFonts w:asciiTheme="majorHAnsi" w:hAnsiTheme="majorHAnsi"/>
          <w:b/>
          <w:color w:val="FF0000"/>
        </w:rPr>
        <w:t>Gammarth - Tunisie</w:t>
      </w:r>
      <w:bookmarkStart w:id="0" w:name="_GoBack"/>
      <w:bookmarkEnd w:id="0"/>
    </w:p>
    <w:p w:rsidR="00475FE4" w:rsidRPr="00FB60CF" w:rsidRDefault="00B36552" w:rsidP="00475FE4">
      <w:pPr>
        <w:jc w:val="center"/>
        <w:rPr>
          <w:rFonts w:asciiTheme="majorHAnsi" w:hAnsiTheme="majorHAnsi"/>
          <w:b/>
          <w:color w:val="8496B0" w:themeColor="text2" w:themeTint="99"/>
        </w:rPr>
      </w:pPr>
      <w:r>
        <w:rPr>
          <w:rFonts w:asciiTheme="majorHAnsi" w:hAnsiTheme="majorHAnsi"/>
          <w:b/>
          <w:color w:val="8496B0" w:themeColor="text2" w:themeTint="99"/>
        </w:rPr>
        <w:t>R</w:t>
      </w:r>
      <w:r w:rsidR="00475FE4" w:rsidRPr="00FB60CF">
        <w:rPr>
          <w:rFonts w:asciiTheme="majorHAnsi" w:hAnsiTheme="majorHAnsi"/>
          <w:b/>
          <w:color w:val="8496B0" w:themeColor="text2" w:themeTint="99"/>
        </w:rPr>
        <w:t>ésolution pour l’adoption du 10</w:t>
      </w:r>
      <w:r w:rsidR="00475FE4" w:rsidRPr="00FB60CF">
        <w:rPr>
          <w:rFonts w:asciiTheme="majorHAnsi" w:hAnsiTheme="majorHAnsi"/>
          <w:b/>
          <w:color w:val="8496B0" w:themeColor="text2" w:themeTint="99"/>
          <w:vertAlign w:val="superscript"/>
        </w:rPr>
        <w:t>ème</w:t>
      </w:r>
      <w:r w:rsidR="00475FE4" w:rsidRPr="00FB60CF">
        <w:rPr>
          <w:rFonts w:asciiTheme="majorHAnsi" w:hAnsiTheme="majorHAnsi"/>
          <w:b/>
          <w:color w:val="8496B0" w:themeColor="text2" w:themeTint="99"/>
        </w:rPr>
        <w:t xml:space="preserve"> Rapport financier </w:t>
      </w:r>
      <w:r w:rsidR="000B5561">
        <w:rPr>
          <w:rFonts w:asciiTheme="majorHAnsi" w:hAnsiTheme="majorHAnsi"/>
          <w:b/>
          <w:color w:val="8496B0" w:themeColor="text2" w:themeTint="99"/>
        </w:rPr>
        <w:t>(</w:t>
      </w:r>
      <w:r w:rsidR="00475FE4" w:rsidRPr="00FB60CF">
        <w:rPr>
          <w:rFonts w:asciiTheme="majorHAnsi" w:hAnsiTheme="majorHAnsi"/>
          <w:b/>
          <w:color w:val="8496B0" w:themeColor="text2" w:themeTint="99"/>
        </w:rPr>
        <w:t>2016</w:t>
      </w:r>
      <w:r w:rsidR="000B5561">
        <w:rPr>
          <w:rFonts w:asciiTheme="majorHAnsi" w:hAnsiTheme="majorHAnsi"/>
          <w:b/>
          <w:color w:val="8496B0" w:themeColor="text2" w:themeTint="99"/>
        </w:rPr>
        <w:t>)</w:t>
      </w:r>
    </w:p>
    <w:p w:rsidR="00475FE4" w:rsidRPr="00FB60CF" w:rsidRDefault="00475FE4" w:rsidP="00475FE4">
      <w:pPr>
        <w:jc w:val="both"/>
        <w:rPr>
          <w:rFonts w:asciiTheme="majorHAnsi" w:hAnsiTheme="majorHAnsi"/>
        </w:rPr>
      </w:pPr>
    </w:p>
    <w:p w:rsidR="00475FE4" w:rsidRPr="000522F1" w:rsidRDefault="00475FE4" w:rsidP="00393B2E">
      <w:pPr>
        <w:pStyle w:val="Paragraphedeliste"/>
        <w:numPr>
          <w:ilvl w:val="0"/>
          <w:numId w:val="1"/>
        </w:numPr>
        <w:jc w:val="both"/>
        <w:outlineLvl w:val="0"/>
        <w:rPr>
          <w:rFonts w:asciiTheme="majorHAnsi" w:hAnsiTheme="majorHAnsi"/>
          <w:b/>
          <w:color w:val="44546A" w:themeColor="text2"/>
        </w:rPr>
      </w:pPr>
      <w:r w:rsidRPr="000522F1">
        <w:rPr>
          <w:rFonts w:asciiTheme="majorHAnsi" w:hAnsiTheme="majorHAnsi"/>
          <w:b/>
          <w:color w:val="44546A" w:themeColor="text2"/>
        </w:rPr>
        <w:t>Résolution</w:t>
      </w:r>
    </w:p>
    <w:p w:rsidR="00475FE4" w:rsidRPr="00FB60CF" w:rsidRDefault="00475FE4" w:rsidP="00475FE4">
      <w:pPr>
        <w:jc w:val="both"/>
        <w:rPr>
          <w:rFonts w:asciiTheme="majorHAnsi" w:hAnsiTheme="majorHAnsi"/>
        </w:rPr>
      </w:pPr>
      <w:r w:rsidRPr="00FB60CF">
        <w:rPr>
          <w:rFonts w:asciiTheme="majorHAnsi" w:hAnsiTheme="majorHAnsi"/>
        </w:rPr>
        <w:t>La 11</w:t>
      </w:r>
      <w:r w:rsidRPr="00FB60CF">
        <w:rPr>
          <w:rFonts w:asciiTheme="majorHAnsi" w:hAnsiTheme="majorHAnsi"/>
          <w:vertAlign w:val="superscript"/>
        </w:rPr>
        <w:t>ème</w:t>
      </w:r>
      <w:r w:rsidRPr="00FB60CF">
        <w:rPr>
          <w:rFonts w:asciiTheme="majorHAnsi" w:hAnsiTheme="majorHAnsi"/>
        </w:rPr>
        <w:t xml:space="preserve"> Assemblée générale de l’Association francophone des autorités de protection des données personnelles (AFAPDP) approuve les comptes certifiés et le 10</w:t>
      </w:r>
      <w:r w:rsidRPr="00FB60CF">
        <w:rPr>
          <w:rFonts w:asciiTheme="majorHAnsi" w:hAnsiTheme="majorHAnsi"/>
          <w:vertAlign w:val="superscript"/>
        </w:rPr>
        <w:t>ème</w:t>
      </w:r>
      <w:r w:rsidRPr="00FB60CF">
        <w:rPr>
          <w:rFonts w:asciiTheme="majorHAnsi" w:hAnsiTheme="majorHAnsi"/>
        </w:rPr>
        <w:t xml:space="preserve"> Rapport financier définitif pour l’année 2016 présenté le 05 septembre 2017 et annexé à la présente résolution.</w:t>
      </w:r>
    </w:p>
    <w:p w:rsidR="00BE4C01" w:rsidRPr="00FB60CF" w:rsidRDefault="00BE4C01" w:rsidP="00BE4C01">
      <w:pPr>
        <w:jc w:val="both"/>
        <w:rPr>
          <w:rFonts w:asciiTheme="majorHAnsi" w:hAnsiTheme="majorHAnsi"/>
        </w:rPr>
      </w:pPr>
    </w:p>
    <w:p w:rsidR="00635B9D" w:rsidRPr="00FB60CF" w:rsidRDefault="00635B9D">
      <w:pPr>
        <w:spacing w:after="160" w:line="259" w:lineRule="auto"/>
        <w:rPr>
          <w:rFonts w:asciiTheme="majorHAnsi" w:hAnsiTheme="majorHAnsi"/>
        </w:rPr>
      </w:pPr>
      <w:r w:rsidRPr="00FB60CF">
        <w:rPr>
          <w:rFonts w:asciiTheme="majorHAnsi" w:hAnsiTheme="majorHAnsi"/>
        </w:rPr>
        <w:br w:type="page"/>
      </w:r>
    </w:p>
    <w:p w:rsidR="00475FE4" w:rsidRPr="000522F1" w:rsidRDefault="00475FE4" w:rsidP="00393B2E">
      <w:pPr>
        <w:pStyle w:val="Paragraphedeliste"/>
        <w:numPr>
          <w:ilvl w:val="0"/>
          <w:numId w:val="1"/>
        </w:numPr>
        <w:outlineLvl w:val="0"/>
        <w:rPr>
          <w:rFonts w:asciiTheme="majorHAnsi" w:hAnsiTheme="majorHAnsi"/>
          <w:b/>
          <w:color w:val="44546A" w:themeColor="text2"/>
        </w:rPr>
      </w:pPr>
      <w:r w:rsidRPr="000522F1">
        <w:rPr>
          <w:rFonts w:asciiTheme="majorHAnsi" w:hAnsiTheme="majorHAnsi"/>
          <w:b/>
          <w:color w:val="44546A" w:themeColor="text2"/>
        </w:rPr>
        <w:lastRenderedPageBreak/>
        <w:t xml:space="preserve">Annexe </w:t>
      </w:r>
    </w:p>
    <w:p w:rsidR="00475FE4" w:rsidRPr="00FB60CF" w:rsidRDefault="00475FE4" w:rsidP="00475FE4">
      <w:pPr>
        <w:jc w:val="center"/>
        <w:rPr>
          <w:rFonts w:asciiTheme="majorHAnsi" w:hAnsiTheme="majorHAnsi"/>
        </w:rPr>
      </w:pPr>
      <w:r w:rsidRPr="00FB60CF">
        <w:rPr>
          <w:rFonts w:asciiTheme="majorHAnsi" w:hAnsiTheme="majorHAnsi"/>
        </w:rPr>
        <w:t>11</w:t>
      </w:r>
      <w:r w:rsidRPr="00FB60CF">
        <w:rPr>
          <w:rFonts w:asciiTheme="majorHAnsi" w:hAnsiTheme="majorHAnsi"/>
          <w:vertAlign w:val="superscript"/>
        </w:rPr>
        <w:t>ème</w:t>
      </w:r>
      <w:r w:rsidRPr="00FB60CF">
        <w:rPr>
          <w:rFonts w:asciiTheme="majorHAnsi" w:hAnsiTheme="majorHAnsi"/>
        </w:rPr>
        <w:t xml:space="preserve"> Assemblée générale de l’AFAPDP</w:t>
      </w:r>
    </w:p>
    <w:p w:rsidR="00475FE4" w:rsidRPr="00FB60CF" w:rsidRDefault="00475FE4" w:rsidP="00475FE4">
      <w:pPr>
        <w:jc w:val="center"/>
        <w:rPr>
          <w:rFonts w:asciiTheme="majorHAnsi" w:hAnsiTheme="majorHAnsi"/>
        </w:rPr>
      </w:pPr>
      <w:r w:rsidRPr="00FB60CF">
        <w:rPr>
          <w:rFonts w:asciiTheme="majorHAnsi" w:hAnsiTheme="majorHAnsi"/>
        </w:rPr>
        <w:t>5 septembre 2017</w:t>
      </w:r>
    </w:p>
    <w:p w:rsidR="00475FE4" w:rsidRPr="00FB60CF" w:rsidRDefault="00475FE4" w:rsidP="00475FE4">
      <w:pPr>
        <w:jc w:val="center"/>
        <w:rPr>
          <w:rFonts w:asciiTheme="majorHAnsi" w:hAnsiTheme="majorHAnsi"/>
        </w:rPr>
      </w:pPr>
      <w:r w:rsidRPr="00FB60CF">
        <w:rPr>
          <w:rFonts w:asciiTheme="majorHAnsi" w:hAnsiTheme="majorHAnsi"/>
        </w:rPr>
        <w:t xml:space="preserve">Tunis, Tunisie </w:t>
      </w:r>
    </w:p>
    <w:p w:rsidR="00475FE4" w:rsidRPr="00FB60CF" w:rsidRDefault="00475FE4" w:rsidP="00475FE4">
      <w:pPr>
        <w:jc w:val="center"/>
        <w:rPr>
          <w:rFonts w:asciiTheme="majorHAnsi" w:hAnsiTheme="majorHAnsi"/>
          <w:b/>
          <w:color w:val="8496B0" w:themeColor="text2" w:themeTint="99"/>
        </w:rPr>
      </w:pPr>
      <w:r w:rsidRPr="00FB60CF">
        <w:rPr>
          <w:rFonts w:asciiTheme="majorHAnsi" w:hAnsiTheme="majorHAnsi"/>
          <w:b/>
          <w:color w:val="8496B0" w:themeColor="text2" w:themeTint="99"/>
        </w:rPr>
        <w:t>10</w:t>
      </w:r>
      <w:r w:rsidRPr="00FB60CF">
        <w:rPr>
          <w:rFonts w:asciiTheme="majorHAnsi" w:hAnsiTheme="majorHAnsi"/>
          <w:b/>
          <w:color w:val="8496B0" w:themeColor="text2" w:themeTint="99"/>
          <w:vertAlign w:val="superscript"/>
        </w:rPr>
        <w:t>ème</w:t>
      </w:r>
      <w:r w:rsidRPr="00FB60CF">
        <w:rPr>
          <w:rFonts w:asciiTheme="majorHAnsi" w:hAnsiTheme="majorHAnsi"/>
          <w:b/>
          <w:color w:val="8496B0" w:themeColor="text2" w:themeTint="99"/>
        </w:rPr>
        <w:t xml:space="preserve"> Rapport financier 2016</w:t>
      </w:r>
    </w:p>
    <w:p w:rsidR="00475FE4" w:rsidRPr="00FB60CF" w:rsidRDefault="00475FE4" w:rsidP="00475FE4">
      <w:pPr>
        <w:pStyle w:val="Paragraphedeliste"/>
        <w:numPr>
          <w:ilvl w:val="0"/>
          <w:numId w:val="5"/>
        </w:numPr>
        <w:jc w:val="both"/>
        <w:rPr>
          <w:rFonts w:asciiTheme="majorHAnsi" w:hAnsiTheme="majorHAnsi"/>
        </w:rPr>
      </w:pPr>
      <w:r w:rsidRPr="00FB60CF">
        <w:rPr>
          <w:rFonts w:asciiTheme="majorHAnsi" w:hAnsiTheme="majorHAnsi"/>
        </w:rPr>
        <w:t xml:space="preserve">Le présent </w:t>
      </w:r>
      <w:r w:rsidR="000522F1">
        <w:rPr>
          <w:rFonts w:asciiTheme="majorHAnsi" w:hAnsiTheme="majorHAnsi"/>
        </w:rPr>
        <w:t>r</w:t>
      </w:r>
      <w:r w:rsidRPr="00FB60CF">
        <w:rPr>
          <w:rFonts w:asciiTheme="majorHAnsi" w:hAnsiTheme="majorHAnsi"/>
        </w:rPr>
        <w:t>apport a été rédigé à partir des comptes annuels 2016 certifiés le 6 mars 2017 par le Cabinet d’expertise comptable Bleu</w:t>
      </w:r>
      <w:r w:rsidR="000B5561">
        <w:rPr>
          <w:rFonts w:asciiTheme="majorHAnsi" w:hAnsiTheme="majorHAnsi"/>
        </w:rPr>
        <w:t>,</w:t>
      </w:r>
      <w:r w:rsidRPr="00FB60CF">
        <w:rPr>
          <w:rFonts w:asciiTheme="majorHAnsi" w:hAnsiTheme="majorHAnsi"/>
        </w:rPr>
        <w:t xml:space="preserve"> situé 5 place du 28 juin 1940</w:t>
      </w:r>
      <w:r w:rsidR="000B5561">
        <w:rPr>
          <w:rFonts w:asciiTheme="majorHAnsi" w:hAnsiTheme="majorHAnsi"/>
        </w:rPr>
        <w:t>,</w:t>
      </w:r>
      <w:r w:rsidRPr="00FB60CF">
        <w:rPr>
          <w:rFonts w:asciiTheme="majorHAnsi" w:hAnsiTheme="majorHAnsi"/>
        </w:rPr>
        <w:t xml:space="preserve"> à Paris.</w:t>
      </w:r>
    </w:p>
    <w:p w:rsidR="00475FE4" w:rsidRPr="00FB60CF" w:rsidRDefault="00475FE4" w:rsidP="00475FE4">
      <w:pPr>
        <w:pStyle w:val="Paragraphedeliste"/>
        <w:ind w:left="360"/>
        <w:jc w:val="both"/>
        <w:rPr>
          <w:rFonts w:asciiTheme="majorHAnsi" w:hAnsiTheme="majorHAnsi"/>
        </w:rPr>
      </w:pPr>
    </w:p>
    <w:p w:rsidR="00475FE4" w:rsidRPr="00FB60CF" w:rsidRDefault="00475FE4" w:rsidP="00475FE4">
      <w:pPr>
        <w:pStyle w:val="Paragraphedeliste"/>
        <w:numPr>
          <w:ilvl w:val="0"/>
          <w:numId w:val="5"/>
        </w:numPr>
        <w:jc w:val="both"/>
        <w:rPr>
          <w:rFonts w:asciiTheme="majorHAnsi" w:hAnsiTheme="majorHAnsi"/>
        </w:rPr>
      </w:pPr>
      <w:r w:rsidRPr="00FB60CF">
        <w:rPr>
          <w:rFonts w:asciiTheme="majorHAnsi" w:hAnsiTheme="majorHAnsi"/>
        </w:rPr>
        <w:t>La tenue de la comptabilité est assurée par la Secrétaire générale de l’AFAPDP conformément à l’article 19.4 des Statuts.</w:t>
      </w:r>
    </w:p>
    <w:p w:rsidR="00475FE4" w:rsidRPr="00FB60CF" w:rsidRDefault="00475FE4" w:rsidP="00475FE4">
      <w:pPr>
        <w:pStyle w:val="Paragraphedeliste"/>
        <w:rPr>
          <w:rFonts w:asciiTheme="majorHAnsi" w:hAnsiTheme="majorHAnsi"/>
        </w:rPr>
      </w:pPr>
    </w:p>
    <w:p w:rsidR="00475FE4" w:rsidRPr="00475FE4" w:rsidRDefault="000B5561" w:rsidP="00475FE4">
      <w:pPr>
        <w:pStyle w:val="Paragraphedeliste"/>
        <w:numPr>
          <w:ilvl w:val="0"/>
          <w:numId w:val="5"/>
        </w:numPr>
        <w:jc w:val="both"/>
        <w:rPr>
          <w:rFonts w:asciiTheme="majorHAnsi" w:hAnsiTheme="majorHAnsi"/>
        </w:rPr>
      </w:pPr>
      <w:r>
        <w:rPr>
          <w:rFonts w:asciiTheme="majorHAnsi" w:hAnsiTheme="majorHAnsi"/>
        </w:rPr>
        <w:t>Le présent rapport est annexé</w:t>
      </w:r>
      <w:r w:rsidR="00475FE4" w:rsidRPr="00FB60CF">
        <w:rPr>
          <w:rFonts w:asciiTheme="majorHAnsi" w:hAnsiTheme="majorHAnsi"/>
        </w:rPr>
        <w:t xml:space="preserve"> </w:t>
      </w:r>
      <w:r>
        <w:rPr>
          <w:rFonts w:asciiTheme="majorHAnsi" w:hAnsiTheme="majorHAnsi"/>
        </w:rPr>
        <w:t>à la R</w:t>
      </w:r>
      <w:r w:rsidR="00475FE4" w:rsidRPr="00FB60CF">
        <w:rPr>
          <w:rFonts w:asciiTheme="majorHAnsi" w:hAnsiTheme="majorHAnsi"/>
        </w:rPr>
        <w:t>ésolution pour l’adoption du 10</w:t>
      </w:r>
      <w:r w:rsidR="00475FE4" w:rsidRPr="00FB60CF">
        <w:rPr>
          <w:rFonts w:asciiTheme="majorHAnsi" w:hAnsiTheme="majorHAnsi"/>
          <w:vertAlign w:val="superscript"/>
        </w:rPr>
        <w:t>ème</w:t>
      </w:r>
      <w:r w:rsidR="00475FE4" w:rsidRPr="00FB60CF">
        <w:rPr>
          <w:rFonts w:asciiTheme="majorHAnsi" w:hAnsiTheme="majorHAnsi"/>
        </w:rPr>
        <w:t xml:space="preserve"> Rapport financier. </w:t>
      </w:r>
    </w:p>
    <w:p w:rsidR="00BE4C01" w:rsidRPr="00FB60CF" w:rsidRDefault="00BE4C01" w:rsidP="00393B2E">
      <w:pPr>
        <w:pStyle w:val="Titre2"/>
        <w:shd w:val="clear" w:color="auto" w:fill="44546A" w:themeFill="text2"/>
        <w:rPr>
          <w:color w:val="D5DCE4" w:themeColor="text2" w:themeTint="33"/>
        </w:rPr>
      </w:pPr>
      <w:r w:rsidRPr="00FB60CF">
        <w:rPr>
          <w:b/>
          <w:color w:val="D5DCE4" w:themeColor="text2" w:themeTint="33"/>
        </w:rPr>
        <w:t>SYNTHESE</w:t>
      </w:r>
    </w:p>
    <w:p w:rsidR="000B5561" w:rsidRPr="000B5561" w:rsidRDefault="000B5561" w:rsidP="000B5561">
      <w:pPr>
        <w:pStyle w:val="Paragraphedeliste"/>
        <w:ind w:left="360"/>
        <w:jc w:val="both"/>
        <w:rPr>
          <w:rFonts w:asciiTheme="majorHAnsi" w:hAnsiTheme="majorHAnsi"/>
        </w:rPr>
      </w:pPr>
    </w:p>
    <w:p w:rsidR="00BE4C01" w:rsidRPr="00FB60CF" w:rsidRDefault="00517BCF" w:rsidP="00BE4C01">
      <w:pPr>
        <w:pStyle w:val="Paragraphedeliste"/>
        <w:numPr>
          <w:ilvl w:val="0"/>
          <w:numId w:val="5"/>
        </w:numPr>
        <w:jc w:val="both"/>
        <w:rPr>
          <w:rFonts w:asciiTheme="majorHAnsi" w:hAnsiTheme="majorHAnsi"/>
        </w:rPr>
      </w:pPr>
      <w:r w:rsidRPr="00FB60CF">
        <w:rPr>
          <w:rFonts w:asciiTheme="majorHAnsi" w:hAnsiTheme="majorHAnsi"/>
          <w:u w:val="single"/>
        </w:rPr>
        <w:t xml:space="preserve">Des produits d’exploitations en hausse et </w:t>
      </w:r>
      <w:r w:rsidR="000B5561">
        <w:rPr>
          <w:rFonts w:asciiTheme="majorHAnsi" w:hAnsiTheme="majorHAnsi"/>
          <w:u w:val="single"/>
        </w:rPr>
        <w:t>conformes</w:t>
      </w:r>
      <w:r w:rsidRPr="00FB60CF">
        <w:rPr>
          <w:rFonts w:asciiTheme="majorHAnsi" w:hAnsiTheme="majorHAnsi"/>
          <w:u w:val="single"/>
        </w:rPr>
        <w:t xml:space="preserve"> au budget prévisionnel</w:t>
      </w:r>
      <w:r w:rsidR="00BE4C01" w:rsidRPr="00FB60CF">
        <w:rPr>
          <w:rFonts w:asciiTheme="majorHAnsi" w:hAnsiTheme="majorHAnsi"/>
        </w:rPr>
        <w:t xml:space="preserve"> : </w:t>
      </w:r>
      <w:r w:rsidRPr="00FB60CF">
        <w:rPr>
          <w:rFonts w:asciiTheme="majorHAnsi" w:hAnsiTheme="majorHAnsi"/>
        </w:rPr>
        <w:t>le montant des produits d’exploitation (subventions, cotisations et inscriptions) s’élèvent à</w:t>
      </w:r>
      <w:r w:rsidR="00BE4C01" w:rsidRPr="00FB60CF">
        <w:rPr>
          <w:rFonts w:asciiTheme="majorHAnsi" w:hAnsiTheme="majorHAnsi"/>
        </w:rPr>
        <w:t xml:space="preserve"> </w:t>
      </w:r>
      <w:r w:rsidR="00DA04DF" w:rsidRPr="00FB60CF">
        <w:rPr>
          <w:rFonts w:asciiTheme="majorHAnsi" w:hAnsiTheme="majorHAnsi"/>
        </w:rPr>
        <w:t>111 558</w:t>
      </w:r>
      <w:r w:rsidRPr="00FB60CF">
        <w:rPr>
          <w:rFonts w:asciiTheme="majorHAnsi" w:hAnsiTheme="majorHAnsi"/>
        </w:rPr>
        <w:t xml:space="preserve"> €. Ce montant est conforme au budget prévisionnel (1</w:t>
      </w:r>
      <w:r w:rsidR="000B5561">
        <w:rPr>
          <w:rFonts w:asciiTheme="majorHAnsi" w:hAnsiTheme="majorHAnsi"/>
        </w:rPr>
        <w:t>1</w:t>
      </w:r>
      <w:r w:rsidRPr="00FB60CF">
        <w:rPr>
          <w:rFonts w:asciiTheme="majorHAnsi" w:hAnsiTheme="majorHAnsi"/>
        </w:rPr>
        <w:t>8 </w:t>
      </w:r>
      <w:r w:rsidR="000B5561">
        <w:rPr>
          <w:rFonts w:asciiTheme="majorHAnsi" w:hAnsiTheme="majorHAnsi"/>
        </w:rPr>
        <w:t>73</w:t>
      </w:r>
      <w:r w:rsidRPr="00FB60CF">
        <w:rPr>
          <w:rFonts w:asciiTheme="majorHAnsi" w:hAnsiTheme="majorHAnsi"/>
        </w:rPr>
        <w:t xml:space="preserve">5 €). </w:t>
      </w:r>
      <w:r w:rsidR="00635B9D" w:rsidRPr="00FB60CF">
        <w:rPr>
          <w:rFonts w:asciiTheme="majorHAnsi" w:hAnsiTheme="majorHAnsi"/>
        </w:rPr>
        <w:t xml:space="preserve">On constate une augmentation de 12.45% </w:t>
      </w:r>
      <w:r w:rsidRPr="00FB60CF">
        <w:rPr>
          <w:rFonts w:asciiTheme="majorHAnsi" w:hAnsiTheme="majorHAnsi"/>
        </w:rPr>
        <w:t xml:space="preserve">en raison de </w:t>
      </w:r>
      <w:r w:rsidR="00635B9D" w:rsidRPr="00FB60CF">
        <w:rPr>
          <w:rFonts w:asciiTheme="majorHAnsi" w:hAnsiTheme="majorHAnsi"/>
        </w:rPr>
        <w:t>l’augmentation du montant de la subvention accordée par</w:t>
      </w:r>
      <w:r w:rsidRPr="00FB60CF">
        <w:rPr>
          <w:rFonts w:asciiTheme="majorHAnsi" w:hAnsiTheme="majorHAnsi"/>
        </w:rPr>
        <w:t xml:space="preserve"> l’Organisation internationale de la Francophonie (OIF)</w:t>
      </w:r>
      <w:r w:rsidR="00635B9D" w:rsidRPr="00FB60CF">
        <w:rPr>
          <w:rFonts w:asciiTheme="majorHAnsi" w:hAnsiTheme="majorHAnsi"/>
        </w:rPr>
        <w:t>, à titre exceptionnel</w:t>
      </w:r>
      <w:r w:rsidR="00DA04DF" w:rsidRPr="00FB60CF">
        <w:rPr>
          <w:rFonts w:asciiTheme="majorHAnsi" w:hAnsiTheme="majorHAnsi"/>
        </w:rPr>
        <w:t>.</w:t>
      </w:r>
    </w:p>
    <w:p w:rsidR="00BE4C01" w:rsidRPr="00FB60CF" w:rsidRDefault="00BE4C01" w:rsidP="00BE4C01">
      <w:pPr>
        <w:pStyle w:val="Paragraphedeliste"/>
        <w:ind w:left="360"/>
        <w:jc w:val="both"/>
        <w:rPr>
          <w:rFonts w:asciiTheme="majorHAnsi" w:hAnsiTheme="majorHAnsi"/>
        </w:rPr>
      </w:pPr>
    </w:p>
    <w:p w:rsidR="00BC79ED" w:rsidRPr="00FB60CF" w:rsidRDefault="00BE4C01" w:rsidP="00BC79ED">
      <w:pPr>
        <w:pStyle w:val="Paragraphedeliste"/>
        <w:numPr>
          <w:ilvl w:val="0"/>
          <w:numId w:val="5"/>
        </w:numPr>
        <w:jc w:val="both"/>
        <w:rPr>
          <w:rFonts w:asciiTheme="majorHAnsi" w:hAnsiTheme="majorHAnsi"/>
        </w:rPr>
      </w:pPr>
      <w:r w:rsidRPr="00FB60CF">
        <w:rPr>
          <w:rFonts w:asciiTheme="majorHAnsi" w:hAnsiTheme="majorHAnsi"/>
          <w:u w:val="single"/>
        </w:rPr>
        <w:t xml:space="preserve">Une </w:t>
      </w:r>
      <w:r w:rsidR="008C0F09" w:rsidRPr="00FB60CF">
        <w:rPr>
          <w:rFonts w:asciiTheme="majorHAnsi" w:hAnsiTheme="majorHAnsi"/>
          <w:u w:val="single"/>
        </w:rPr>
        <w:t>faiblesse des ressources propres</w:t>
      </w:r>
      <w:r w:rsidRPr="00FB60CF">
        <w:rPr>
          <w:rFonts w:asciiTheme="majorHAnsi" w:hAnsiTheme="majorHAnsi"/>
        </w:rPr>
        <w:t xml:space="preserve"> : </w:t>
      </w:r>
      <w:r w:rsidR="00635B9D" w:rsidRPr="00FB60CF">
        <w:rPr>
          <w:rFonts w:asciiTheme="majorHAnsi" w:hAnsiTheme="majorHAnsi"/>
        </w:rPr>
        <w:t xml:space="preserve">les cotisations représentent 19% du total des produits d’exploitation (20 935 €). </w:t>
      </w:r>
      <w:r w:rsidR="008C0F09" w:rsidRPr="00FB60CF">
        <w:rPr>
          <w:rFonts w:asciiTheme="majorHAnsi" w:hAnsiTheme="majorHAnsi"/>
        </w:rPr>
        <w:t>Cette situation constitue une fragilité financière pour</w:t>
      </w:r>
      <w:r w:rsidRPr="00FB60CF">
        <w:rPr>
          <w:rFonts w:asciiTheme="majorHAnsi" w:hAnsiTheme="majorHAnsi"/>
        </w:rPr>
        <w:t xml:space="preserve"> l’AFAPDP. </w:t>
      </w:r>
      <w:r w:rsidR="000B3CE9" w:rsidRPr="00FB60CF">
        <w:rPr>
          <w:rFonts w:asciiTheme="majorHAnsi" w:hAnsiTheme="majorHAnsi"/>
        </w:rPr>
        <w:t>L</w:t>
      </w:r>
      <w:r w:rsidR="00635B9D" w:rsidRPr="00FB60CF">
        <w:rPr>
          <w:rFonts w:asciiTheme="majorHAnsi" w:hAnsiTheme="majorHAnsi"/>
        </w:rPr>
        <w:t>e résultat de la</w:t>
      </w:r>
      <w:r w:rsidRPr="00FB60CF">
        <w:rPr>
          <w:rFonts w:asciiTheme="majorHAnsi" w:hAnsiTheme="majorHAnsi"/>
        </w:rPr>
        <w:t xml:space="preserve"> réflexion lancée par l’Assemblée générale en juin 2015 </w:t>
      </w:r>
      <w:r w:rsidR="00635B9D" w:rsidRPr="00FB60CF">
        <w:rPr>
          <w:rFonts w:asciiTheme="majorHAnsi" w:hAnsiTheme="majorHAnsi"/>
        </w:rPr>
        <w:t xml:space="preserve">pour </w:t>
      </w:r>
      <w:r w:rsidRPr="00FB60CF">
        <w:rPr>
          <w:rFonts w:asciiTheme="majorHAnsi" w:hAnsiTheme="majorHAnsi"/>
        </w:rPr>
        <w:t xml:space="preserve">réduire cette dépendance financière </w:t>
      </w:r>
      <w:r w:rsidR="008C0F09" w:rsidRPr="00FB60CF">
        <w:rPr>
          <w:rFonts w:asciiTheme="majorHAnsi" w:hAnsiTheme="majorHAnsi"/>
        </w:rPr>
        <w:t>aux subventions publiques et renforcer les ressources propres</w:t>
      </w:r>
      <w:r w:rsidR="00635B9D" w:rsidRPr="00FB60CF">
        <w:rPr>
          <w:rFonts w:asciiTheme="majorHAnsi" w:hAnsiTheme="majorHAnsi"/>
        </w:rPr>
        <w:t xml:space="preserve"> devrait apparaître dans le rapport financier</w:t>
      </w:r>
      <w:r w:rsidRPr="00FB60CF">
        <w:rPr>
          <w:rFonts w:asciiTheme="majorHAnsi" w:hAnsiTheme="majorHAnsi"/>
        </w:rPr>
        <w:t xml:space="preserve"> </w:t>
      </w:r>
      <w:r w:rsidR="00635B9D" w:rsidRPr="00FB60CF">
        <w:rPr>
          <w:rFonts w:asciiTheme="majorHAnsi" w:hAnsiTheme="majorHAnsi"/>
        </w:rPr>
        <w:t>de l’exercice 2017</w:t>
      </w:r>
      <w:r w:rsidRPr="00FB60CF">
        <w:rPr>
          <w:rFonts w:asciiTheme="majorHAnsi" w:hAnsiTheme="majorHAnsi"/>
        </w:rPr>
        <w:t>.</w:t>
      </w:r>
      <w:r w:rsidR="00635B9D" w:rsidRPr="00FB60CF">
        <w:rPr>
          <w:rFonts w:asciiTheme="majorHAnsi" w:hAnsiTheme="majorHAnsi"/>
        </w:rPr>
        <w:t xml:space="preserve"> </w:t>
      </w:r>
    </w:p>
    <w:p w:rsidR="00BC79ED" w:rsidRPr="00FB60CF" w:rsidRDefault="00BC79ED" w:rsidP="00BC79ED">
      <w:pPr>
        <w:pStyle w:val="Paragraphedeliste"/>
        <w:ind w:left="360"/>
        <w:jc w:val="both"/>
        <w:rPr>
          <w:rFonts w:asciiTheme="majorHAnsi" w:hAnsiTheme="majorHAnsi"/>
        </w:rPr>
      </w:pPr>
    </w:p>
    <w:p w:rsidR="00BE4C01" w:rsidRPr="00FB60CF" w:rsidRDefault="00BE4C01" w:rsidP="00BE4C01">
      <w:pPr>
        <w:pStyle w:val="Paragraphedeliste"/>
        <w:numPr>
          <w:ilvl w:val="0"/>
          <w:numId w:val="5"/>
        </w:numPr>
        <w:jc w:val="both"/>
        <w:rPr>
          <w:rFonts w:asciiTheme="majorHAnsi" w:hAnsiTheme="majorHAnsi"/>
        </w:rPr>
      </w:pPr>
      <w:r w:rsidRPr="00FB60CF">
        <w:rPr>
          <w:rFonts w:asciiTheme="majorHAnsi" w:hAnsiTheme="majorHAnsi"/>
          <w:u w:val="single"/>
        </w:rPr>
        <w:t xml:space="preserve">Des </w:t>
      </w:r>
      <w:r w:rsidR="00384101" w:rsidRPr="00FB60CF">
        <w:rPr>
          <w:rFonts w:asciiTheme="majorHAnsi" w:hAnsiTheme="majorHAnsi"/>
          <w:u w:val="single"/>
        </w:rPr>
        <w:t>charges d’exploitation</w:t>
      </w:r>
      <w:r w:rsidRPr="00FB60CF">
        <w:rPr>
          <w:rFonts w:asciiTheme="majorHAnsi" w:hAnsiTheme="majorHAnsi"/>
          <w:u w:val="single"/>
        </w:rPr>
        <w:t xml:space="preserve"> </w:t>
      </w:r>
      <w:r w:rsidR="000B3CE9" w:rsidRPr="00FB60CF">
        <w:rPr>
          <w:rFonts w:asciiTheme="majorHAnsi" w:hAnsiTheme="majorHAnsi"/>
          <w:u w:val="single"/>
        </w:rPr>
        <w:t>en hausse et conformes au budget prévisionnel</w:t>
      </w:r>
      <w:r w:rsidRPr="00FB60CF">
        <w:rPr>
          <w:rFonts w:asciiTheme="majorHAnsi" w:hAnsiTheme="majorHAnsi"/>
        </w:rPr>
        <w:t xml:space="preserve"> : les </w:t>
      </w:r>
      <w:r w:rsidR="00BC79ED" w:rsidRPr="00FB60CF">
        <w:rPr>
          <w:rFonts w:asciiTheme="majorHAnsi" w:hAnsiTheme="majorHAnsi"/>
        </w:rPr>
        <w:t>charges d’exploitation</w:t>
      </w:r>
      <w:r w:rsidRPr="00FB60CF">
        <w:rPr>
          <w:rFonts w:asciiTheme="majorHAnsi" w:hAnsiTheme="majorHAnsi"/>
        </w:rPr>
        <w:t xml:space="preserve"> s’élèvent à </w:t>
      </w:r>
      <w:r w:rsidR="000B3CE9" w:rsidRPr="00FB60CF">
        <w:rPr>
          <w:rFonts w:asciiTheme="majorHAnsi" w:hAnsiTheme="majorHAnsi"/>
        </w:rPr>
        <w:t>103 116</w:t>
      </w:r>
      <w:r w:rsidRPr="00FB60CF">
        <w:rPr>
          <w:rFonts w:asciiTheme="majorHAnsi" w:hAnsiTheme="majorHAnsi"/>
        </w:rPr>
        <w:t xml:space="preserve"> € soit une </w:t>
      </w:r>
      <w:r w:rsidR="00BC79ED" w:rsidRPr="00FB60CF">
        <w:rPr>
          <w:rFonts w:asciiTheme="majorHAnsi" w:hAnsiTheme="majorHAnsi"/>
        </w:rPr>
        <w:t xml:space="preserve">augmentation de </w:t>
      </w:r>
      <w:r w:rsidR="000B3CE9" w:rsidRPr="00FB60CF">
        <w:rPr>
          <w:rFonts w:asciiTheme="majorHAnsi" w:hAnsiTheme="majorHAnsi"/>
        </w:rPr>
        <w:t>17.35</w:t>
      </w:r>
      <w:r w:rsidRPr="00FB60CF">
        <w:rPr>
          <w:rFonts w:asciiTheme="majorHAnsi" w:hAnsiTheme="majorHAnsi"/>
        </w:rPr>
        <w:t>% par rapport à 201</w:t>
      </w:r>
      <w:r w:rsidR="000B3CE9" w:rsidRPr="00FB60CF">
        <w:rPr>
          <w:rFonts w:asciiTheme="majorHAnsi" w:hAnsiTheme="majorHAnsi"/>
        </w:rPr>
        <w:t>5</w:t>
      </w:r>
      <w:r w:rsidRPr="00FB60CF">
        <w:rPr>
          <w:rFonts w:asciiTheme="majorHAnsi" w:hAnsiTheme="majorHAnsi"/>
        </w:rPr>
        <w:t xml:space="preserve">. Les deux postes de dépense principaux sont les charges salariales et sociales </w:t>
      </w:r>
      <w:r w:rsidR="000B3CE9" w:rsidRPr="00FB60CF">
        <w:rPr>
          <w:rFonts w:asciiTheme="majorHAnsi" w:hAnsiTheme="majorHAnsi"/>
        </w:rPr>
        <w:t xml:space="preserve">(59 892 €) </w:t>
      </w:r>
      <w:r w:rsidRPr="00FB60CF">
        <w:rPr>
          <w:rFonts w:asciiTheme="majorHAnsi" w:hAnsiTheme="majorHAnsi"/>
        </w:rPr>
        <w:t>et les voyages et déplacements (</w:t>
      </w:r>
      <w:r w:rsidR="000B3CE9" w:rsidRPr="00FB60CF">
        <w:rPr>
          <w:rFonts w:asciiTheme="majorHAnsi" w:hAnsiTheme="majorHAnsi"/>
        </w:rPr>
        <w:t xml:space="preserve">28 065 € de </w:t>
      </w:r>
      <w:r w:rsidRPr="00FB60CF">
        <w:rPr>
          <w:rFonts w:asciiTheme="majorHAnsi" w:hAnsiTheme="majorHAnsi"/>
        </w:rPr>
        <w:t>prise en charge des participants aux formations et réunions de l’AFAPDP).</w:t>
      </w:r>
    </w:p>
    <w:p w:rsidR="00BE4C01" w:rsidRPr="00FB60CF" w:rsidRDefault="00BE4C01" w:rsidP="00BE4C01">
      <w:pPr>
        <w:pStyle w:val="Paragraphedeliste"/>
        <w:ind w:left="360"/>
        <w:jc w:val="both"/>
        <w:rPr>
          <w:rFonts w:asciiTheme="majorHAnsi" w:hAnsiTheme="majorHAnsi"/>
        </w:rPr>
      </w:pPr>
    </w:p>
    <w:p w:rsidR="00BC79ED" w:rsidRPr="00FB60CF" w:rsidRDefault="00BE4C01" w:rsidP="00BC79ED">
      <w:pPr>
        <w:pStyle w:val="Paragraphedeliste"/>
        <w:numPr>
          <w:ilvl w:val="0"/>
          <w:numId w:val="5"/>
        </w:numPr>
        <w:jc w:val="both"/>
        <w:rPr>
          <w:rFonts w:asciiTheme="majorHAnsi" w:hAnsiTheme="majorHAnsi"/>
        </w:rPr>
      </w:pPr>
      <w:r w:rsidRPr="00FB60CF">
        <w:rPr>
          <w:rFonts w:asciiTheme="majorHAnsi" w:hAnsiTheme="majorHAnsi"/>
          <w:u w:val="single"/>
        </w:rPr>
        <w:t xml:space="preserve">Un résultat </w:t>
      </w:r>
      <w:r w:rsidR="00517BCF" w:rsidRPr="00FB60CF">
        <w:rPr>
          <w:rFonts w:asciiTheme="majorHAnsi" w:hAnsiTheme="majorHAnsi"/>
          <w:u w:val="single"/>
        </w:rPr>
        <w:t xml:space="preserve">d’exploitation </w:t>
      </w:r>
      <w:r w:rsidRPr="00FB60CF">
        <w:rPr>
          <w:rFonts w:asciiTheme="majorHAnsi" w:hAnsiTheme="majorHAnsi"/>
          <w:u w:val="single"/>
        </w:rPr>
        <w:t xml:space="preserve">excédentaire pour la </w:t>
      </w:r>
      <w:r w:rsidR="000B3CE9" w:rsidRPr="00FB60CF">
        <w:rPr>
          <w:rFonts w:asciiTheme="majorHAnsi" w:hAnsiTheme="majorHAnsi"/>
          <w:u w:val="single"/>
        </w:rPr>
        <w:t>5</w:t>
      </w:r>
      <w:r w:rsidRPr="00FB60CF">
        <w:rPr>
          <w:rFonts w:asciiTheme="majorHAnsi" w:hAnsiTheme="majorHAnsi"/>
          <w:u w:val="single"/>
          <w:vertAlign w:val="superscript"/>
        </w:rPr>
        <w:t>ème</w:t>
      </w:r>
      <w:r w:rsidRPr="00FB60CF">
        <w:rPr>
          <w:rFonts w:asciiTheme="majorHAnsi" w:hAnsiTheme="majorHAnsi"/>
          <w:u w:val="single"/>
        </w:rPr>
        <w:t xml:space="preserve"> année consécutive</w:t>
      </w:r>
      <w:r w:rsidRPr="00FB60CF">
        <w:rPr>
          <w:rFonts w:asciiTheme="majorHAnsi" w:hAnsiTheme="majorHAnsi"/>
        </w:rPr>
        <w:t xml:space="preserve"> : le résultat </w:t>
      </w:r>
      <w:r w:rsidR="00BC79ED" w:rsidRPr="00FB60CF">
        <w:rPr>
          <w:rFonts w:asciiTheme="majorHAnsi" w:hAnsiTheme="majorHAnsi"/>
        </w:rPr>
        <w:t>courant</w:t>
      </w:r>
      <w:r w:rsidRPr="00FB60CF">
        <w:rPr>
          <w:rFonts w:asciiTheme="majorHAnsi" w:hAnsiTheme="majorHAnsi"/>
        </w:rPr>
        <w:t xml:space="preserve"> présente un excédent de </w:t>
      </w:r>
      <w:r w:rsidR="000B3CE9" w:rsidRPr="00FB60CF">
        <w:rPr>
          <w:rFonts w:asciiTheme="majorHAnsi" w:hAnsiTheme="majorHAnsi"/>
        </w:rPr>
        <w:t>8 786</w:t>
      </w:r>
      <w:r w:rsidRPr="00FB60CF">
        <w:rPr>
          <w:rFonts w:asciiTheme="majorHAnsi" w:hAnsiTheme="majorHAnsi"/>
        </w:rPr>
        <w:t xml:space="preserve"> €</w:t>
      </w:r>
      <w:r w:rsidR="00517BCF" w:rsidRPr="00FB60CF">
        <w:rPr>
          <w:rFonts w:asciiTheme="majorHAnsi" w:hAnsiTheme="majorHAnsi"/>
        </w:rPr>
        <w:t xml:space="preserve">, en baisse 28.19% par rapport à l’exercice précédent. </w:t>
      </w:r>
      <w:r w:rsidR="000B5561">
        <w:rPr>
          <w:rFonts w:asciiTheme="majorHAnsi" w:hAnsiTheme="majorHAnsi"/>
        </w:rPr>
        <w:t>L</w:t>
      </w:r>
      <w:r w:rsidR="00BC79ED" w:rsidRPr="00FB60CF">
        <w:rPr>
          <w:rFonts w:asciiTheme="majorHAnsi" w:hAnsiTheme="majorHAnsi"/>
        </w:rPr>
        <w:t>e montant particulièrement élevé du résultat d’exploitation précédent, conséquence de l’annulation de la formation prévue à Tunis en décembre 2015</w:t>
      </w:r>
      <w:r w:rsidR="00A53B09">
        <w:rPr>
          <w:rFonts w:asciiTheme="majorHAnsi" w:hAnsiTheme="majorHAnsi"/>
        </w:rPr>
        <w:t>,</w:t>
      </w:r>
      <w:r w:rsidR="000B5561">
        <w:rPr>
          <w:rFonts w:asciiTheme="majorHAnsi" w:hAnsiTheme="majorHAnsi"/>
        </w:rPr>
        <w:t xml:space="preserve"> explique cette</w:t>
      </w:r>
      <w:r w:rsidR="000B5561" w:rsidRPr="00FB60CF">
        <w:rPr>
          <w:rFonts w:asciiTheme="majorHAnsi" w:hAnsiTheme="majorHAnsi"/>
        </w:rPr>
        <w:t xml:space="preserve"> baisse conjoncturelle</w:t>
      </w:r>
      <w:r w:rsidR="000B5561">
        <w:rPr>
          <w:rFonts w:asciiTheme="majorHAnsi" w:hAnsiTheme="majorHAnsi"/>
        </w:rPr>
        <w:t>.</w:t>
      </w:r>
    </w:p>
    <w:p w:rsidR="00BC79ED" w:rsidRPr="00FB60CF" w:rsidRDefault="00BC79ED" w:rsidP="00BC79ED">
      <w:pPr>
        <w:pStyle w:val="Paragraphedeliste"/>
        <w:ind w:left="360"/>
        <w:jc w:val="both"/>
        <w:rPr>
          <w:rFonts w:asciiTheme="majorHAnsi" w:hAnsiTheme="majorHAnsi"/>
        </w:rPr>
      </w:pPr>
    </w:p>
    <w:p w:rsidR="00BE4C01" w:rsidRDefault="00BE4C01" w:rsidP="000522F1">
      <w:pPr>
        <w:pStyle w:val="Paragraphedeliste"/>
        <w:numPr>
          <w:ilvl w:val="0"/>
          <w:numId w:val="5"/>
        </w:numPr>
        <w:jc w:val="both"/>
        <w:rPr>
          <w:rFonts w:asciiTheme="majorHAnsi" w:hAnsiTheme="majorHAnsi"/>
        </w:rPr>
      </w:pPr>
      <w:r w:rsidRPr="00FB60CF">
        <w:rPr>
          <w:rFonts w:asciiTheme="majorHAnsi" w:hAnsiTheme="majorHAnsi"/>
          <w:u w:val="single"/>
        </w:rPr>
        <w:t xml:space="preserve">Un bilan </w:t>
      </w:r>
      <w:r w:rsidR="0030740F" w:rsidRPr="00FB60CF">
        <w:rPr>
          <w:rFonts w:asciiTheme="majorHAnsi" w:hAnsiTheme="majorHAnsi"/>
          <w:u w:val="single"/>
        </w:rPr>
        <w:t xml:space="preserve">actif </w:t>
      </w:r>
      <w:r w:rsidRPr="00FB60CF">
        <w:rPr>
          <w:rFonts w:asciiTheme="majorHAnsi" w:hAnsiTheme="majorHAnsi"/>
          <w:u w:val="single"/>
        </w:rPr>
        <w:t xml:space="preserve">de </w:t>
      </w:r>
      <w:r w:rsidR="000B3CE9" w:rsidRPr="00FB60CF">
        <w:rPr>
          <w:rFonts w:asciiTheme="majorHAnsi" w:hAnsiTheme="majorHAnsi"/>
          <w:u w:val="single"/>
        </w:rPr>
        <w:t>103 991</w:t>
      </w:r>
      <w:r w:rsidRPr="00FB60CF">
        <w:rPr>
          <w:rFonts w:asciiTheme="majorHAnsi" w:hAnsiTheme="majorHAnsi"/>
          <w:u w:val="single"/>
        </w:rPr>
        <w:t xml:space="preserve"> € et une bonne santé financière globale :</w:t>
      </w:r>
      <w:r w:rsidRPr="00FB60CF">
        <w:rPr>
          <w:rFonts w:asciiTheme="majorHAnsi" w:hAnsiTheme="majorHAnsi"/>
        </w:rPr>
        <w:t xml:space="preserve"> </w:t>
      </w:r>
      <w:r w:rsidR="0030740F" w:rsidRPr="00FB60CF">
        <w:rPr>
          <w:rFonts w:asciiTheme="majorHAnsi" w:hAnsiTheme="majorHAnsi"/>
        </w:rPr>
        <w:t xml:space="preserve">ce bilan est composé de 83 991 € de </w:t>
      </w:r>
      <w:r w:rsidR="008E152E" w:rsidRPr="00FB60CF">
        <w:rPr>
          <w:rFonts w:asciiTheme="majorHAnsi" w:hAnsiTheme="majorHAnsi"/>
        </w:rPr>
        <w:t>disponibilités (</w:t>
      </w:r>
      <w:r w:rsidR="0030740F" w:rsidRPr="00FB60CF">
        <w:rPr>
          <w:rFonts w:asciiTheme="majorHAnsi" w:hAnsiTheme="majorHAnsi"/>
        </w:rPr>
        <w:t>trésorerie</w:t>
      </w:r>
      <w:r w:rsidR="008E152E" w:rsidRPr="00FB60CF">
        <w:rPr>
          <w:rFonts w:asciiTheme="majorHAnsi" w:hAnsiTheme="majorHAnsi"/>
        </w:rPr>
        <w:t>)</w:t>
      </w:r>
      <w:r w:rsidR="0030740F" w:rsidRPr="00FB60CF">
        <w:rPr>
          <w:rFonts w:asciiTheme="majorHAnsi" w:hAnsiTheme="majorHAnsi"/>
        </w:rPr>
        <w:t xml:space="preserve"> au 31 décembre 2016 (comptes courant et épargne) et de 20 000 € de subventions à percevoir. </w:t>
      </w:r>
    </w:p>
    <w:p w:rsidR="000522F1" w:rsidRPr="000522F1" w:rsidRDefault="000522F1" w:rsidP="000522F1">
      <w:pPr>
        <w:pStyle w:val="Paragraphedeliste"/>
        <w:rPr>
          <w:rFonts w:asciiTheme="majorHAnsi" w:hAnsiTheme="majorHAnsi"/>
        </w:rPr>
      </w:pPr>
    </w:p>
    <w:tbl>
      <w:tblPr>
        <w:tblStyle w:val="Grilledutableau"/>
        <w:tblW w:w="5000" w:type="pct"/>
        <w:tblLook w:val="04A0" w:firstRow="1" w:lastRow="0" w:firstColumn="1" w:lastColumn="0" w:noHBand="0" w:noVBand="1"/>
      </w:tblPr>
      <w:tblGrid>
        <w:gridCol w:w="2808"/>
        <w:gridCol w:w="1870"/>
        <w:gridCol w:w="2175"/>
        <w:gridCol w:w="2209"/>
      </w:tblGrid>
      <w:tr w:rsidR="00E14A39" w:rsidRPr="00FB60CF" w:rsidTr="000522F1">
        <w:tc>
          <w:tcPr>
            <w:tcW w:w="1549" w:type="pct"/>
            <w:shd w:val="clear" w:color="auto" w:fill="44546A" w:themeFill="text2"/>
          </w:tcPr>
          <w:p w:rsidR="00E14A39" w:rsidRPr="005E1B04" w:rsidRDefault="00E14A39" w:rsidP="00955074">
            <w:pPr>
              <w:spacing w:after="0"/>
              <w:jc w:val="right"/>
              <w:rPr>
                <w:rFonts w:asciiTheme="majorHAnsi" w:hAnsiTheme="majorHAnsi"/>
                <w:b/>
                <w:color w:val="D5DCE4" w:themeColor="text2" w:themeTint="33"/>
              </w:rPr>
            </w:pPr>
          </w:p>
        </w:tc>
        <w:tc>
          <w:tcPr>
            <w:tcW w:w="1032" w:type="pct"/>
            <w:shd w:val="clear" w:color="auto" w:fill="44546A" w:themeFill="text2"/>
          </w:tcPr>
          <w:p w:rsidR="00E14A39" w:rsidRPr="005E1B04" w:rsidRDefault="00E14A39" w:rsidP="00955074">
            <w:pPr>
              <w:spacing w:after="0"/>
              <w:jc w:val="right"/>
              <w:rPr>
                <w:rFonts w:asciiTheme="majorHAnsi" w:hAnsiTheme="majorHAnsi"/>
                <w:b/>
                <w:color w:val="D5DCE4" w:themeColor="text2" w:themeTint="33"/>
              </w:rPr>
            </w:pPr>
            <w:r w:rsidRPr="005E1B04">
              <w:rPr>
                <w:rFonts w:asciiTheme="majorHAnsi" w:hAnsiTheme="majorHAnsi"/>
                <w:b/>
                <w:color w:val="D5DCE4" w:themeColor="text2" w:themeTint="33"/>
              </w:rPr>
              <w:t>Exercice 2016</w:t>
            </w:r>
          </w:p>
        </w:tc>
        <w:tc>
          <w:tcPr>
            <w:tcW w:w="1200" w:type="pct"/>
            <w:shd w:val="clear" w:color="auto" w:fill="44546A" w:themeFill="text2"/>
          </w:tcPr>
          <w:p w:rsidR="00E14A39" w:rsidRPr="005E1B04" w:rsidRDefault="00E14A39" w:rsidP="00955074">
            <w:pPr>
              <w:spacing w:after="0"/>
              <w:jc w:val="right"/>
              <w:rPr>
                <w:rFonts w:asciiTheme="majorHAnsi" w:hAnsiTheme="majorHAnsi"/>
                <w:b/>
                <w:color w:val="D5DCE4" w:themeColor="text2" w:themeTint="33"/>
              </w:rPr>
            </w:pPr>
            <w:r w:rsidRPr="005E1B04">
              <w:rPr>
                <w:rFonts w:asciiTheme="majorHAnsi" w:hAnsiTheme="majorHAnsi"/>
                <w:b/>
                <w:color w:val="D5DCE4" w:themeColor="text2" w:themeTint="33"/>
              </w:rPr>
              <w:t>Exercice 2015</w:t>
            </w:r>
          </w:p>
        </w:tc>
        <w:tc>
          <w:tcPr>
            <w:tcW w:w="1219" w:type="pct"/>
            <w:shd w:val="clear" w:color="auto" w:fill="44546A" w:themeFill="text2"/>
          </w:tcPr>
          <w:p w:rsidR="00E14A39" w:rsidRPr="005E1B04" w:rsidRDefault="00E14A39" w:rsidP="00955074">
            <w:pPr>
              <w:spacing w:after="0"/>
              <w:jc w:val="right"/>
              <w:rPr>
                <w:rFonts w:asciiTheme="majorHAnsi" w:hAnsiTheme="majorHAnsi"/>
                <w:b/>
                <w:color w:val="D5DCE4" w:themeColor="text2" w:themeTint="33"/>
              </w:rPr>
            </w:pPr>
            <w:r w:rsidRPr="005E1B04">
              <w:rPr>
                <w:rFonts w:asciiTheme="majorHAnsi" w:hAnsiTheme="majorHAnsi"/>
                <w:b/>
                <w:color w:val="D5DCE4" w:themeColor="text2" w:themeTint="33"/>
              </w:rPr>
              <w:t>Variation %</w:t>
            </w:r>
          </w:p>
        </w:tc>
      </w:tr>
      <w:tr w:rsidR="00E14A39" w:rsidRPr="00FB60CF" w:rsidTr="000522F1">
        <w:tc>
          <w:tcPr>
            <w:tcW w:w="1549" w:type="pct"/>
            <w:shd w:val="clear" w:color="auto" w:fill="D5DCE4" w:themeFill="text2" w:themeFillTint="33"/>
          </w:tcPr>
          <w:p w:rsidR="00E14A39" w:rsidRPr="00FB60CF" w:rsidRDefault="0030740F" w:rsidP="0030740F">
            <w:pPr>
              <w:spacing w:after="0"/>
              <w:rPr>
                <w:rFonts w:asciiTheme="majorHAnsi" w:hAnsiTheme="majorHAnsi"/>
                <w:b/>
                <w:color w:val="222A35" w:themeColor="text2" w:themeShade="80"/>
              </w:rPr>
            </w:pPr>
            <w:r w:rsidRPr="00FB60CF">
              <w:rPr>
                <w:rFonts w:asciiTheme="majorHAnsi" w:hAnsiTheme="majorHAnsi"/>
                <w:b/>
                <w:color w:val="222A35" w:themeColor="text2" w:themeShade="80"/>
              </w:rPr>
              <w:t>Produit</w:t>
            </w:r>
            <w:r w:rsidR="00E14A39" w:rsidRPr="00FB60CF">
              <w:rPr>
                <w:rFonts w:asciiTheme="majorHAnsi" w:hAnsiTheme="majorHAnsi"/>
                <w:b/>
                <w:color w:val="222A35" w:themeColor="text2" w:themeShade="80"/>
              </w:rPr>
              <w:t xml:space="preserve">s </w:t>
            </w:r>
          </w:p>
        </w:tc>
        <w:tc>
          <w:tcPr>
            <w:tcW w:w="1032" w:type="pct"/>
          </w:tcPr>
          <w:p w:rsidR="00E14A39" w:rsidRPr="00FB60CF" w:rsidRDefault="00E14A39" w:rsidP="00955074">
            <w:pPr>
              <w:spacing w:after="0"/>
              <w:jc w:val="right"/>
              <w:rPr>
                <w:rFonts w:asciiTheme="majorHAnsi" w:hAnsiTheme="majorHAnsi"/>
                <w:color w:val="222A35" w:themeColor="text2" w:themeShade="80"/>
              </w:rPr>
            </w:pPr>
            <w:r w:rsidRPr="00FB60CF">
              <w:rPr>
                <w:rFonts w:asciiTheme="majorHAnsi" w:hAnsiTheme="majorHAnsi"/>
                <w:color w:val="222A35" w:themeColor="text2" w:themeShade="80"/>
              </w:rPr>
              <w:t>111</w:t>
            </w:r>
            <w:r w:rsidR="000522F1">
              <w:rPr>
                <w:rFonts w:asciiTheme="majorHAnsi" w:hAnsiTheme="majorHAnsi"/>
                <w:color w:val="222A35" w:themeColor="text2" w:themeShade="80"/>
              </w:rPr>
              <w:t> </w:t>
            </w:r>
            <w:r w:rsidRPr="00FB60CF">
              <w:rPr>
                <w:rFonts w:asciiTheme="majorHAnsi" w:hAnsiTheme="majorHAnsi"/>
                <w:color w:val="222A35" w:themeColor="text2" w:themeShade="80"/>
              </w:rPr>
              <w:t>558</w:t>
            </w:r>
            <w:r w:rsidR="000522F1">
              <w:rPr>
                <w:rFonts w:asciiTheme="majorHAnsi" w:hAnsiTheme="majorHAnsi"/>
                <w:color w:val="222A35" w:themeColor="text2" w:themeShade="80"/>
              </w:rPr>
              <w:t xml:space="preserve"> €</w:t>
            </w:r>
          </w:p>
        </w:tc>
        <w:tc>
          <w:tcPr>
            <w:tcW w:w="1200" w:type="pct"/>
          </w:tcPr>
          <w:p w:rsidR="00E14A39" w:rsidRPr="00FB60CF" w:rsidRDefault="00E14A39" w:rsidP="00955074">
            <w:pPr>
              <w:spacing w:after="0"/>
              <w:jc w:val="right"/>
              <w:rPr>
                <w:rFonts w:asciiTheme="majorHAnsi" w:hAnsiTheme="majorHAnsi"/>
                <w:color w:val="222A35" w:themeColor="text2" w:themeShade="80"/>
              </w:rPr>
            </w:pPr>
            <w:r w:rsidRPr="00FB60CF">
              <w:rPr>
                <w:rFonts w:asciiTheme="majorHAnsi" w:hAnsiTheme="majorHAnsi"/>
                <w:color w:val="222A35" w:themeColor="text2" w:themeShade="80"/>
              </w:rPr>
              <w:t>99</w:t>
            </w:r>
            <w:r w:rsidR="000522F1">
              <w:rPr>
                <w:rFonts w:asciiTheme="majorHAnsi" w:hAnsiTheme="majorHAnsi"/>
                <w:color w:val="222A35" w:themeColor="text2" w:themeShade="80"/>
              </w:rPr>
              <w:t> </w:t>
            </w:r>
            <w:r w:rsidRPr="00FB60CF">
              <w:rPr>
                <w:rFonts w:asciiTheme="majorHAnsi" w:hAnsiTheme="majorHAnsi"/>
                <w:color w:val="222A35" w:themeColor="text2" w:themeShade="80"/>
              </w:rPr>
              <w:t>208</w:t>
            </w:r>
            <w:r w:rsidR="000522F1">
              <w:rPr>
                <w:rFonts w:asciiTheme="majorHAnsi" w:hAnsiTheme="majorHAnsi"/>
                <w:color w:val="222A35" w:themeColor="text2" w:themeShade="80"/>
              </w:rPr>
              <w:t xml:space="preserve"> €</w:t>
            </w:r>
          </w:p>
        </w:tc>
        <w:tc>
          <w:tcPr>
            <w:tcW w:w="1219" w:type="pct"/>
          </w:tcPr>
          <w:p w:rsidR="00E14A39" w:rsidRPr="00FB60CF" w:rsidRDefault="00E14A39" w:rsidP="00955074">
            <w:pPr>
              <w:spacing w:after="0"/>
              <w:jc w:val="right"/>
              <w:rPr>
                <w:rFonts w:asciiTheme="majorHAnsi" w:hAnsiTheme="majorHAnsi"/>
                <w:color w:val="222A35" w:themeColor="text2" w:themeShade="80"/>
              </w:rPr>
            </w:pPr>
            <w:r w:rsidRPr="00FB60CF">
              <w:rPr>
                <w:rFonts w:asciiTheme="majorHAnsi" w:hAnsiTheme="majorHAnsi"/>
                <w:color w:val="222A35" w:themeColor="text2" w:themeShade="80"/>
              </w:rPr>
              <w:t>+12.45</w:t>
            </w:r>
          </w:p>
        </w:tc>
      </w:tr>
      <w:tr w:rsidR="00E14A39" w:rsidRPr="00FB60CF" w:rsidTr="000522F1">
        <w:tc>
          <w:tcPr>
            <w:tcW w:w="1549" w:type="pct"/>
            <w:shd w:val="clear" w:color="auto" w:fill="D5DCE4" w:themeFill="text2" w:themeFillTint="33"/>
          </w:tcPr>
          <w:p w:rsidR="00E14A39" w:rsidRPr="00FB60CF" w:rsidRDefault="0030740F" w:rsidP="0030740F">
            <w:pPr>
              <w:spacing w:after="0"/>
              <w:rPr>
                <w:rFonts w:asciiTheme="majorHAnsi" w:hAnsiTheme="majorHAnsi"/>
                <w:b/>
                <w:color w:val="222A35" w:themeColor="text2" w:themeShade="80"/>
              </w:rPr>
            </w:pPr>
            <w:r w:rsidRPr="00FB60CF">
              <w:rPr>
                <w:rFonts w:asciiTheme="majorHAnsi" w:hAnsiTheme="majorHAnsi"/>
                <w:b/>
                <w:color w:val="222A35" w:themeColor="text2" w:themeShade="80"/>
              </w:rPr>
              <w:t>Charges</w:t>
            </w:r>
          </w:p>
        </w:tc>
        <w:tc>
          <w:tcPr>
            <w:tcW w:w="1032" w:type="pct"/>
          </w:tcPr>
          <w:p w:rsidR="00E14A39" w:rsidRPr="00FB60CF" w:rsidRDefault="00E14A39" w:rsidP="00955074">
            <w:pPr>
              <w:spacing w:after="0"/>
              <w:jc w:val="right"/>
              <w:rPr>
                <w:rFonts w:asciiTheme="majorHAnsi" w:hAnsiTheme="majorHAnsi"/>
                <w:color w:val="222A35" w:themeColor="text2" w:themeShade="80"/>
              </w:rPr>
            </w:pPr>
            <w:r w:rsidRPr="00FB60CF">
              <w:rPr>
                <w:rFonts w:asciiTheme="majorHAnsi" w:hAnsiTheme="majorHAnsi"/>
                <w:color w:val="222A35" w:themeColor="text2" w:themeShade="80"/>
              </w:rPr>
              <w:t>103</w:t>
            </w:r>
            <w:r w:rsidR="000522F1">
              <w:rPr>
                <w:rFonts w:asciiTheme="majorHAnsi" w:hAnsiTheme="majorHAnsi"/>
                <w:color w:val="222A35" w:themeColor="text2" w:themeShade="80"/>
              </w:rPr>
              <w:t> </w:t>
            </w:r>
            <w:r w:rsidRPr="00FB60CF">
              <w:rPr>
                <w:rFonts w:asciiTheme="majorHAnsi" w:hAnsiTheme="majorHAnsi"/>
                <w:color w:val="222A35" w:themeColor="text2" w:themeShade="80"/>
              </w:rPr>
              <w:t>116</w:t>
            </w:r>
            <w:r w:rsidR="000522F1">
              <w:rPr>
                <w:rFonts w:asciiTheme="majorHAnsi" w:hAnsiTheme="majorHAnsi"/>
                <w:color w:val="222A35" w:themeColor="text2" w:themeShade="80"/>
              </w:rPr>
              <w:t xml:space="preserve"> €</w:t>
            </w:r>
          </w:p>
        </w:tc>
        <w:tc>
          <w:tcPr>
            <w:tcW w:w="1200" w:type="pct"/>
          </w:tcPr>
          <w:p w:rsidR="00E14A39" w:rsidRPr="00FB60CF" w:rsidRDefault="00E14A39" w:rsidP="00955074">
            <w:pPr>
              <w:spacing w:after="0"/>
              <w:jc w:val="right"/>
              <w:rPr>
                <w:rFonts w:asciiTheme="majorHAnsi" w:hAnsiTheme="majorHAnsi"/>
                <w:color w:val="222A35" w:themeColor="text2" w:themeShade="80"/>
              </w:rPr>
            </w:pPr>
            <w:r w:rsidRPr="00FB60CF">
              <w:rPr>
                <w:rFonts w:asciiTheme="majorHAnsi" w:hAnsiTheme="majorHAnsi"/>
                <w:color w:val="222A35" w:themeColor="text2" w:themeShade="80"/>
              </w:rPr>
              <w:t>87</w:t>
            </w:r>
            <w:r w:rsidR="000522F1">
              <w:rPr>
                <w:rFonts w:asciiTheme="majorHAnsi" w:hAnsiTheme="majorHAnsi"/>
                <w:color w:val="222A35" w:themeColor="text2" w:themeShade="80"/>
              </w:rPr>
              <w:t> </w:t>
            </w:r>
            <w:r w:rsidRPr="00FB60CF">
              <w:rPr>
                <w:rFonts w:asciiTheme="majorHAnsi" w:hAnsiTheme="majorHAnsi"/>
                <w:color w:val="222A35" w:themeColor="text2" w:themeShade="80"/>
              </w:rPr>
              <w:t>867</w:t>
            </w:r>
            <w:r w:rsidR="000522F1">
              <w:rPr>
                <w:rFonts w:asciiTheme="majorHAnsi" w:hAnsiTheme="majorHAnsi"/>
                <w:color w:val="222A35" w:themeColor="text2" w:themeShade="80"/>
              </w:rPr>
              <w:t xml:space="preserve"> €</w:t>
            </w:r>
          </w:p>
        </w:tc>
        <w:tc>
          <w:tcPr>
            <w:tcW w:w="1219" w:type="pct"/>
          </w:tcPr>
          <w:p w:rsidR="00E14A39" w:rsidRPr="00FB60CF" w:rsidRDefault="00E14A39" w:rsidP="00955074">
            <w:pPr>
              <w:spacing w:after="0"/>
              <w:jc w:val="right"/>
              <w:rPr>
                <w:rFonts w:asciiTheme="majorHAnsi" w:hAnsiTheme="majorHAnsi"/>
                <w:color w:val="222A35" w:themeColor="text2" w:themeShade="80"/>
              </w:rPr>
            </w:pPr>
            <w:r w:rsidRPr="00FB60CF">
              <w:rPr>
                <w:rFonts w:asciiTheme="majorHAnsi" w:hAnsiTheme="majorHAnsi"/>
                <w:color w:val="222A35" w:themeColor="text2" w:themeShade="80"/>
              </w:rPr>
              <w:t>+17.35</w:t>
            </w:r>
          </w:p>
        </w:tc>
      </w:tr>
      <w:tr w:rsidR="00E14A39" w:rsidRPr="00FB60CF" w:rsidTr="000522F1">
        <w:tc>
          <w:tcPr>
            <w:tcW w:w="1549" w:type="pct"/>
            <w:tcBorders>
              <w:bottom w:val="nil"/>
            </w:tcBorders>
            <w:shd w:val="clear" w:color="auto" w:fill="D5DCE4" w:themeFill="text2" w:themeFillTint="33"/>
          </w:tcPr>
          <w:p w:rsidR="00E14A39" w:rsidRPr="00FB60CF" w:rsidRDefault="0030740F" w:rsidP="0030740F">
            <w:pPr>
              <w:spacing w:after="0"/>
              <w:rPr>
                <w:rFonts w:asciiTheme="majorHAnsi" w:hAnsiTheme="majorHAnsi"/>
                <w:b/>
                <w:color w:val="222A35" w:themeColor="text2" w:themeShade="80"/>
              </w:rPr>
            </w:pPr>
            <w:r w:rsidRPr="00FB60CF">
              <w:rPr>
                <w:rFonts w:asciiTheme="majorHAnsi" w:hAnsiTheme="majorHAnsi"/>
                <w:b/>
                <w:color w:val="222A35" w:themeColor="text2" w:themeShade="80"/>
              </w:rPr>
              <w:t>Résultat de l’exercice</w:t>
            </w:r>
          </w:p>
        </w:tc>
        <w:tc>
          <w:tcPr>
            <w:tcW w:w="1032" w:type="pct"/>
            <w:tcBorders>
              <w:bottom w:val="nil"/>
            </w:tcBorders>
          </w:tcPr>
          <w:p w:rsidR="00E14A39" w:rsidRPr="00FB60CF" w:rsidRDefault="00E14A39" w:rsidP="00955074">
            <w:pPr>
              <w:spacing w:after="0"/>
              <w:jc w:val="right"/>
              <w:rPr>
                <w:rFonts w:asciiTheme="majorHAnsi" w:hAnsiTheme="majorHAnsi"/>
                <w:color w:val="222A35" w:themeColor="text2" w:themeShade="80"/>
              </w:rPr>
            </w:pPr>
            <w:r w:rsidRPr="00FB60CF">
              <w:rPr>
                <w:rFonts w:asciiTheme="majorHAnsi" w:hAnsiTheme="majorHAnsi"/>
                <w:color w:val="222A35" w:themeColor="text2" w:themeShade="80"/>
              </w:rPr>
              <w:t>8</w:t>
            </w:r>
            <w:r w:rsidR="000522F1">
              <w:rPr>
                <w:rFonts w:asciiTheme="majorHAnsi" w:hAnsiTheme="majorHAnsi"/>
                <w:color w:val="222A35" w:themeColor="text2" w:themeShade="80"/>
              </w:rPr>
              <w:t> </w:t>
            </w:r>
            <w:r w:rsidRPr="00FB60CF">
              <w:rPr>
                <w:rFonts w:asciiTheme="majorHAnsi" w:hAnsiTheme="majorHAnsi"/>
                <w:color w:val="222A35" w:themeColor="text2" w:themeShade="80"/>
              </w:rPr>
              <w:t>786</w:t>
            </w:r>
            <w:r w:rsidR="000522F1">
              <w:rPr>
                <w:rFonts w:asciiTheme="majorHAnsi" w:hAnsiTheme="majorHAnsi"/>
                <w:color w:val="222A35" w:themeColor="text2" w:themeShade="80"/>
              </w:rPr>
              <w:t xml:space="preserve"> €</w:t>
            </w:r>
          </w:p>
        </w:tc>
        <w:tc>
          <w:tcPr>
            <w:tcW w:w="1200" w:type="pct"/>
            <w:tcBorders>
              <w:bottom w:val="nil"/>
            </w:tcBorders>
          </w:tcPr>
          <w:p w:rsidR="00E14A39" w:rsidRPr="00FB60CF" w:rsidRDefault="00E14A39" w:rsidP="00955074">
            <w:pPr>
              <w:spacing w:after="0"/>
              <w:jc w:val="right"/>
              <w:rPr>
                <w:rFonts w:asciiTheme="majorHAnsi" w:hAnsiTheme="majorHAnsi"/>
                <w:color w:val="222A35" w:themeColor="text2" w:themeShade="80"/>
              </w:rPr>
            </w:pPr>
            <w:r w:rsidRPr="00FB60CF">
              <w:rPr>
                <w:rFonts w:asciiTheme="majorHAnsi" w:hAnsiTheme="majorHAnsi"/>
                <w:color w:val="222A35" w:themeColor="text2" w:themeShade="80"/>
              </w:rPr>
              <w:t>12</w:t>
            </w:r>
            <w:r w:rsidR="000522F1">
              <w:rPr>
                <w:rFonts w:asciiTheme="majorHAnsi" w:hAnsiTheme="majorHAnsi"/>
                <w:color w:val="222A35" w:themeColor="text2" w:themeShade="80"/>
              </w:rPr>
              <w:t> </w:t>
            </w:r>
            <w:r w:rsidRPr="00FB60CF">
              <w:rPr>
                <w:rFonts w:asciiTheme="majorHAnsi" w:hAnsiTheme="majorHAnsi"/>
                <w:color w:val="222A35" w:themeColor="text2" w:themeShade="80"/>
              </w:rPr>
              <w:t>235</w:t>
            </w:r>
            <w:r w:rsidR="000522F1">
              <w:rPr>
                <w:rFonts w:asciiTheme="majorHAnsi" w:hAnsiTheme="majorHAnsi"/>
                <w:color w:val="222A35" w:themeColor="text2" w:themeShade="80"/>
              </w:rPr>
              <w:t xml:space="preserve"> €</w:t>
            </w:r>
          </w:p>
        </w:tc>
        <w:tc>
          <w:tcPr>
            <w:tcW w:w="1219" w:type="pct"/>
            <w:tcBorders>
              <w:bottom w:val="nil"/>
            </w:tcBorders>
          </w:tcPr>
          <w:p w:rsidR="00E14A39" w:rsidRPr="00FB60CF" w:rsidRDefault="00E14A39" w:rsidP="00955074">
            <w:pPr>
              <w:spacing w:after="0"/>
              <w:jc w:val="right"/>
              <w:rPr>
                <w:rFonts w:asciiTheme="majorHAnsi" w:hAnsiTheme="majorHAnsi"/>
                <w:color w:val="222A35" w:themeColor="text2" w:themeShade="80"/>
              </w:rPr>
            </w:pPr>
            <w:r w:rsidRPr="00FB60CF">
              <w:rPr>
                <w:rFonts w:asciiTheme="majorHAnsi" w:hAnsiTheme="majorHAnsi"/>
                <w:color w:val="222A35" w:themeColor="text2" w:themeShade="80"/>
              </w:rPr>
              <w:t>-28.19</w:t>
            </w:r>
          </w:p>
        </w:tc>
      </w:tr>
      <w:tr w:rsidR="007619C3" w:rsidRPr="00FB60CF" w:rsidTr="000522F1">
        <w:trPr>
          <w:trHeight w:val="147"/>
        </w:trPr>
        <w:tc>
          <w:tcPr>
            <w:tcW w:w="1549" w:type="pct"/>
            <w:tcBorders>
              <w:top w:val="nil"/>
              <w:left w:val="single" w:sz="4" w:space="0" w:color="auto"/>
              <w:bottom w:val="nil"/>
              <w:right w:val="nil"/>
            </w:tcBorders>
            <w:shd w:val="clear" w:color="auto" w:fill="44546A" w:themeFill="text2"/>
          </w:tcPr>
          <w:p w:rsidR="007619C3" w:rsidRPr="00FB60CF" w:rsidRDefault="007619C3" w:rsidP="0030740F">
            <w:pPr>
              <w:spacing w:after="0"/>
              <w:rPr>
                <w:rFonts w:asciiTheme="majorHAnsi" w:hAnsiTheme="majorHAnsi"/>
                <w:b/>
                <w:color w:val="222A35" w:themeColor="text2" w:themeShade="80"/>
              </w:rPr>
            </w:pPr>
          </w:p>
        </w:tc>
        <w:tc>
          <w:tcPr>
            <w:tcW w:w="1032" w:type="pct"/>
            <w:tcBorders>
              <w:top w:val="nil"/>
              <w:left w:val="nil"/>
              <w:bottom w:val="nil"/>
              <w:right w:val="nil"/>
            </w:tcBorders>
            <w:shd w:val="clear" w:color="auto" w:fill="44546A" w:themeFill="text2"/>
          </w:tcPr>
          <w:p w:rsidR="007619C3" w:rsidRPr="00FB60CF" w:rsidRDefault="007619C3" w:rsidP="00955074">
            <w:pPr>
              <w:spacing w:after="0"/>
              <w:jc w:val="right"/>
              <w:rPr>
                <w:rFonts w:asciiTheme="majorHAnsi" w:hAnsiTheme="majorHAnsi"/>
                <w:color w:val="222A35" w:themeColor="text2" w:themeShade="80"/>
              </w:rPr>
            </w:pPr>
          </w:p>
        </w:tc>
        <w:tc>
          <w:tcPr>
            <w:tcW w:w="1200" w:type="pct"/>
            <w:tcBorders>
              <w:top w:val="nil"/>
              <w:left w:val="nil"/>
              <w:bottom w:val="nil"/>
              <w:right w:val="nil"/>
            </w:tcBorders>
            <w:shd w:val="clear" w:color="auto" w:fill="44546A" w:themeFill="text2"/>
          </w:tcPr>
          <w:p w:rsidR="007619C3" w:rsidRPr="00FB60CF" w:rsidRDefault="007619C3" w:rsidP="00955074">
            <w:pPr>
              <w:spacing w:after="0"/>
              <w:jc w:val="right"/>
              <w:rPr>
                <w:rFonts w:asciiTheme="majorHAnsi" w:hAnsiTheme="majorHAnsi"/>
                <w:color w:val="222A35" w:themeColor="text2" w:themeShade="80"/>
              </w:rPr>
            </w:pPr>
          </w:p>
        </w:tc>
        <w:tc>
          <w:tcPr>
            <w:tcW w:w="1219" w:type="pct"/>
            <w:tcBorders>
              <w:top w:val="nil"/>
              <w:left w:val="nil"/>
              <w:bottom w:val="nil"/>
              <w:right w:val="single" w:sz="4" w:space="0" w:color="auto"/>
            </w:tcBorders>
            <w:shd w:val="clear" w:color="auto" w:fill="44546A" w:themeFill="text2"/>
          </w:tcPr>
          <w:p w:rsidR="007619C3" w:rsidRPr="00FB60CF" w:rsidRDefault="007619C3" w:rsidP="00955074">
            <w:pPr>
              <w:spacing w:after="0"/>
              <w:jc w:val="right"/>
              <w:rPr>
                <w:rFonts w:asciiTheme="majorHAnsi" w:hAnsiTheme="majorHAnsi"/>
                <w:color w:val="222A35" w:themeColor="text2" w:themeShade="80"/>
              </w:rPr>
            </w:pPr>
          </w:p>
        </w:tc>
      </w:tr>
      <w:tr w:rsidR="00E14A39" w:rsidRPr="00FB60CF" w:rsidTr="000522F1">
        <w:tc>
          <w:tcPr>
            <w:tcW w:w="1549" w:type="pct"/>
            <w:tcBorders>
              <w:top w:val="nil"/>
            </w:tcBorders>
            <w:shd w:val="clear" w:color="auto" w:fill="D5DCE4" w:themeFill="text2" w:themeFillTint="33"/>
          </w:tcPr>
          <w:p w:rsidR="00E14A39" w:rsidRPr="00FB60CF" w:rsidRDefault="008E152E" w:rsidP="0030740F">
            <w:pPr>
              <w:spacing w:after="0"/>
              <w:rPr>
                <w:rFonts w:asciiTheme="majorHAnsi" w:hAnsiTheme="majorHAnsi"/>
                <w:b/>
                <w:color w:val="222A35" w:themeColor="text2" w:themeShade="80"/>
              </w:rPr>
            </w:pPr>
            <w:r w:rsidRPr="00FB60CF">
              <w:rPr>
                <w:rFonts w:asciiTheme="majorHAnsi" w:hAnsiTheme="majorHAnsi"/>
                <w:b/>
                <w:color w:val="222A35" w:themeColor="text2" w:themeShade="80"/>
              </w:rPr>
              <w:t>Bilan actif</w:t>
            </w:r>
          </w:p>
        </w:tc>
        <w:tc>
          <w:tcPr>
            <w:tcW w:w="1032" w:type="pct"/>
            <w:tcBorders>
              <w:top w:val="nil"/>
            </w:tcBorders>
          </w:tcPr>
          <w:p w:rsidR="00E14A39" w:rsidRPr="00FB60CF" w:rsidRDefault="00E14A39" w:rsidP="00955074">
            <w:pPr>
              <w:spacing w:after="0"/>
              <w:jc w:val="right"/>
              <w:rPr>
                <w:rFonts w:asciiTheme="majorHAnsi" w:hAnsiTheme="majorHAnsi"/>
                <w:color w:val="222A35" w:themeColor="text2" w:themeShade="80"/>
              </w:rPr>
            </w:pPr>
            <w:r w:rsidRPr="00FB60CF">
              <w:rPr>
                <w:rFonts w:asciiTheme="majorHAnsi" w:hAnsiTheme="majorHAnsi"/>
                <w:color w:val="222A35" w:themeColor="text2" w:themeShade="80"/>
              </w:rPr>
              <w:t>103</w:t>
            </w:r>
            <w:r w:rsidR="000522F1">
              <w:rPr>
                <w:rFonts w:asciiTheme="majorHAnsi" w:hAnsiTheme="majorHAnsi"/>
                <w:color w:val="222A35" w:themeColor="text2" w:themeShade="80"/>
              </w:rPr>
              <w:t> </w:t>
            </w:r>
            <w:r w:rsidRPr="00FB60CF">
              <w:rPr>
                <w:rFonts w:asciiTheme="majorHAnsi" w:hAnsiTheme="majorHAnsi"/>
                <w:color w:val="222A35" w:themeColor="text2" w:themeShade="80"/>
              </w:rPr>
              <w:t>991</w:t>
            </w:r>
            <w:r w:rsidR="000522F1">
              <w:rPr>
                <w:rFonts w:asciiTheme="majorHAnsi" w:hAnsiTheme="majorHAnsi"/>
                <w:color w:val="222A35" w:themeColor="text2" w:themeShade="80"/>
              </w:rPr>
              <w:t xml:space="preserve"> €</w:t>
            </w:r>
          </w:p>
        </w:tc>
        <w:tc>
          <w:tcPr>
            <w:tcW w:w="1200" w:type="pct"/>
            <w:tcBorders>
              <w:top w:val="nil"/>
            </w:tcBorders>
          </w:tcPr>
          <w:p w:rsidR="00E14A39" w:rsidRPr="00FB60CF" w:rsidRDefault="00E14A39" w:rsidP="00955074">
            <w:pPr>
              <w:spacing w:after="0"/>
              <w:jc w:val="right"/>
              <w:rPr>
                <w:rFonts w:asciiTheme="majorHAnsi" w:hAnsiTheme="majorHAnsi"/>
                <w:color w:val="222A35" w:themeColor="text2" w:themeShade="80"/>
              </w:rPr>
            </w:pPr>
            <w:r w:rsidRPr="00FB60CF">
              <w:rPr>
                <w:rFonts w:asciiTheme="majorHAnsi" w:hAnsiTheme="majorHAnsi"/>
                <w:color w:val="222A35" w:themeColor="text2" w:themeShade="80"/>
              </w:rPr>
              <w:t>92</w:t>
            </w:r>
            <w:r w:rsidR="000522F1">
              <w:rPr>
                <w:rFonts w:asciiTheme="majorHAnsi" w:hAnsiTheme="majorHAnsi"/>
                <w:color w:val="222A35" w:themeColor="text2" w:themeShade="80"/>
              </w:rPr>
              <w:t> </w:t>
            </w:r>
            <w:r w:rsidRPr="00FB60CF">
              <w:rPr>
                <w:rFonts w:asciiTheme="majorHAnsi" w:hAnsiTheme="majorHAnsi"/>
                <w:color w:val="222A35" w:themeColor="text2" w:themeShade="80"/>
              </w:rPr>
              <w:t>861</w:t>
            </w:r>
            <w:r w:rsidR="000522F1">
              <w:rPr>
                <w:rFonts w:asciiTheme="majorHAnsi" w:hAnsiTheme="majorHAnsi"/>
                <w:color w:val="222A35" w:themeColor="text2" w:themeShade="80"/>
              </w:rPr>
              <w:t xml:space="preserve"> €</w:t>
            </w:r>
          </w:p>
        </w:tc>
        <w:tc>
          <w:tcPr>
            <w:tcW w:w="1219" w:type="pct"/>
            <w:tcBorders>
              <w:top w:val="nil"/>
            </w:tcBorders>
          </w:tcPr>
          <w:p w:rsidR="00E14A39" w:rsidRPr="00FB60CF" w:rsidRDefault="0001084D" w:rsidP="00955074">
            <w:pPr>
              <w:spacing w:after="0"/>
              <w:jc w:val="right"/>
              <w:rPr>
                <w:rFonts w:asciiTheme="majorHAnsi" w:hAnsiTheme="majorHAnsi"/>
                <w:color w:val="222A35" w:themeColor="text2" w:themeShade="80"/>
              </w:rPr>
            </w:pPr>
            <w:r w:rsidRPr="00FB60CF">
              <w:rPr>
                <w:rFonts w:asciiTheme="majorHAnsi" w:hAnsiTheme="majorHAnsi"/>
                <w:color w:val="222A35" w:themeColor="text2" w:themeShade="80"/>
              </w:rPr>
              <w:t>+11.99</w:t>
            </w:r>
          </w:p>
        </w:tc>
      </w:tr>
    </w:tbl>
    <w:p w:rsidR="000522F1" w:rsidRPr="000522F1" w:rsidRDefault="000522F1" w:rsidP="000522F1">
      <w:pPr>
        <w:spacing w:after="160" w:line="259" w:lineRule="auto"/>
        <w:jc w:val="right"/>
        <w:rPr>
          <w:rFonts w:asciiTheme="majorHAnsi" w:hAnsiTheme="majorHAnsi"/>
          <w:color w:val="222A35" w:themeColor="text2" w:themeShade="80"/>
          <w:sz w:val="16"/>
        </w:rPr>
      </w:pPr>
      <w:r w:rsidRPr="000522F1">
        <w:rPr>
          <w:rFonts w:asciiTheme="majorHAnsi" w:hAnsiTheme="majorHAnsi"/>
          <w:color w:val="222A35" w:themeColor="text2" w:themeShade="80"/>
          <w:sz w:val="16"/>
        </w:rPr>
        <w:t>1 : aperçu général</w:t>
      </w:r>
    </w:p>
    <w:p w:rsidR="000522F1" w:rsidRDefault="000522F1" w:rsidP="000522F1">
      <w:pPr>
        <w:spacing w:after="160" w:line="259" w:lineRule="auto"/>
        <w:jc w:val="center"/>
        <w:rPr>
          <w:rFonts w:asciiTheme="majorHAnsi" w:hAnsiTheme="majorHAnsi"/>
          <w:color w:val="222A35" w:themeColor="text2" w:themeShade="80"/>
        </w:rPr>
      </w:pPr>
      <w:r>
        <w:rPr>
          <w:rFonts w:asciiTheme="majorHAnsi" w:hAnsiTheme="majorHAnsi"/>
          <w:color w:val="222A35" w:themeColor="text2" w:themeShade="80"/>
        </w:rPr>
        <w:t>***</w:t>
      </w:r>
    </w:p>
    <w:p w:rsidR="000522F1" w:rsidRDefault="000522F1" w:rsidP="000522F1">
      <w:pPr>
        <w:spacing w:after="160" w:line="259" w:lineRule="auto"/>
        <w:jc w:val="center"/>
        <w:rPr>
          <w:rFonts w:asciiTheme="majorHAnsi" w:hAnsiTheme="majorHAnsi"/>
          <w:color w:val="222A35" w:themeColor="text2" w:themeShade="80"/>
        </w:rPr>
      </w:pPr>
      <w:r>
        <w:rPr>
          <w:rFonts w:asciiTheme="majorHAnsi" w:hAnsiTheme="majorHAnsi"/>
          <w:color w:val="222A35" w:themeColor="text2" w:themeShade="80"/>
        </w:rPr>
        <w:br w:type="page"/>
      </w:r>
    </w:p>
    <w:p w:rsidR="000C6C23" w:rsidRPr="00FB60CF" w:rsidRDefault="000C6C23">
      <w:pPr>
        <w:spacing w:after="160" w:line="259" w:lineRule="auto"/>
        <w:rPr>
          <w:rFonts w:asciiTheme="majorHAnsi" w:hAnsiTheme="majorHAnsi"/>
          <w:b/>
          <w:color w:val="8496B0" w:themeColor="text2" w:themeTint="99"/>
        </w:rPr>
      </w:pPr>
    </w:p>
    <w:p w:rsidR="00BE4C01" w:rsidRPr="00D24DA7" w:rsidRDefault="00FB60CF" w:rsidP="00D24DA7">
      <w:pPr>
        <w:pStyle w:val="Titre2"/>
        <w:shd w:val="clear" w:color="auto" w:fill="44546A" w:themeFill="text2"/>
        <w:rPr>
          <w:color w:val="D5DCE4" w:themeColor="text2" w:themeTint="33"/>
        </w:rPr>
      </w:pPr>
      <w:r w:rsidRPr="00D24DA7">
        <w:rPr>
          <w:b/>
          <w:color w:val="D5DCE4" w:themeColor="text2" w:themeTint="33"/>
        </w:rPr>
        <w:t>COMPTE DE RESULTAT DETAILLE</w:t>
      </w:r>
    </w:p>
    <w:p w:rsidR="00D24DA7" w:rsidRDefault="00D24DA7" w:rsidP="00D24DA7">
      <w:pPr>
        <w:pStyle w:val="Paragraphedeliste"/>
        <w:ind w:left="360"/>
        <w:jc w:val="both"/>
        <w:rPr>
          <w:rFonts w:asciiTheme="majorHAnsi" w:hAnsiTheme="majorHAnsi"/>
        </w:rPr>
      </w:pPr>
    </w:p>
    <w:p w:rsidR="00BE4C01" w:rsidRPr="00FB60CF" w:rsidRDefault="00BE4C01" w:rsidP="00BE4C01">
      <w:pPr>
        <w:pStyle w:val="Paragraphedeliste"/>
        <w:numPr>
          <w:ilvl w:val="0"/>
          <w:numId w:val="5"/>
        </w:numPr>
        <w:jc w:val="both"/>
        <w:rPr>
          <w:rFonts w:asciiTheme="majorHAnsi" w:hAnsiTheme="majorHAnsi"/>
        </w:rPr>
      </w:pPr>
      <w:r w:rsidRPr="00FB60CF">
        <w:rPr>
          <w:rFonts w:asciiTheme="majorHAnsi" w:hAnsiTheme="majorHAnsi"/>
        </w:rPr>
        <w:t xml:space="preserve">Le plan d’action et le budget prévisionnel annuels ont été adoptés en </w:t>
      </w:r>
      <w:r w:rsidR="00FB60CF" w:rsidRPr="00FB60CF">
        <w:rPr>
          <w:rFonts w:asciiTheme="majorHAnsi" w:hAnsiTheme="majorHAnsi"/>
        </w:rPr>
        <w:t>début d’année</w:t>
      </w:r>
      <w:r w:rsidRPr="00FB60CF">
        <w:rPr>
          <w:rFonts w:asciiTheme="majorHAnsi" w:hAnsiTheme="majorHAnsi"/>
        </w:rPr>
        <w:t xml:space="preserve"> 201</w:t>
      </w:r>
      <w:r w:rsidR="00E14A39" w:rsidRPr="00FB60CF">
        <w:rPr>
          <w:rFonts w:asciiTheme="majorHAnsi" w:hAnsiTheme="majorHAnsi"/>
        </w:rPr>
        <w:t>6</w:t>
      </w:r>
      <w:r w:rsidR="00FB60CF" w:rsidRPr="00FB60CF">
        <w:rPr>
          <w:rFonts w:asciiTheme="majorHAnsi" w:hAnsiTheme="majorHAnsi"/>
        </w:rPr>
        <w:t xml:space="preserve"> par le Bureau de l’AFAPDP. Le </w:t>
      </w:r>
      <w:r w:rsidR="001126C7">
        <w:rPr>
          <w:rFonts w:asciiTheme="majorHAnsi" w:hAnsiTheme="majorHAnsi"/>
        </w:rPr>
        <w:t xml:space="preserve">plan d’action identifie les actions à mener, conformément aux objectifs statutaires de l’association. Le </w:t>
      </w:r>
      <w:r w:rsidR="00FB60CF" w:rsidRPr="00FB60CF">
        <w:rPr>
          <w:rFonts w:asciiTheme="majorHAnsi" w:hAnsiTheme="majorHAnsi"/>
        </w:rPr>
        <w:t xml:space="preserve">budget prévisionnel </w:t>
      </w:r>
      <w:r w:rsidR="001126C7">
        <w:rPr>
          <w:rFonts w:asciiTheme="majorHAnsi" w:hAnsiTheme="majorHAnsi"/>
        </w:rPr>
        <w:t>détermine l</w:t>
      </w:r>
      <w:r w:rsidRPr="00FB60CF">
        <w:rPr>
          <w:rFonts w:asciiTheme="majorHAnsi" w:hAnsiTheme="majorHAnsi"/>
        </w:rPr>
        <w:t>’affectation des ressources</w:t>
      </w:r>
      <w:r w:rsidR="001126C7">
        <w:rPr>
          <w:rFonts w:asciiTheme="majorHAnsi" w:hAnsiTheme="majorHAnsi"/>
        </w:rPr>
        <w:t>, à savoir</w:t>
      </w:r>
      <w:r w:rsidRPr="00FB60CF">
        <w:rPr>
          <w:rFonts w:asciiTheme="majorHAnsi" w:hAnsiTheme="majorHAnsi"/>
        </w:rPr>
        <w:t xml:space="preserve"> assurer le paiement des charges fixes et financer les actions. Parmi </w:t>
      </w:r>
      <w:r w:rsidR="00D24DA7">
        <w:rPr>
          <w:rFonts w:asciiTheme="majorHAnsi" w:hAnsiTheme="majorHAnsi"/>
        </w:rPr>
        <w:t>celles-ci</w:t>
      </w:r>
      <w:r w:rsidRPr="00FB60CF">
        <w:rPr>
          <w:rFonts w:asciiTheme="majorHAnsi" w:hAnsiTheme="majorHAnsi"/>
        </w:rPr>
        <w:t xml:space="preserve">, on retrouve </w:t>
      </w:r>
      <w:r w:rsidR="00D24DA7">
        <w:rPr>
          <w:rFonts w:asciiTheme="majorHAnsi" w:hAnsiTheme="majorHAnsi"/>
        </w:rPr>
        <w:t>les évènements institutionnels récurrents tels</w:t>
      </w:r>
      <w:r w:rsidRPr="00FB60CF">
        <w:rPr>
          <w:rFonts w:asciiTheme="majorHAnsi" w:hAnsiTheme="majorHAnsi"/>
        </w:rPr>
        <w:t xml:space="preserve"> que l’organisation de la Conférence et de l’Assemblée générale.</w:t>
      </w:r>
    </w:p>
    <w:p w:rsidR="00BE4C01" w:rsidRPr="00FB60CF" w:rsidRDefault="00BE4C01" w:rsidP="00BE4C01">
      <w:pPr>
        <w:pStyle w:val="Paragraphedeliste"/>
        <w:ind w:left="360"/>
        <w:jc w:val="both"/>
        <w:rPr>
          <w:rFonts w:asciiTheme="majorHAnsi" w:hAnsiTheme="majorHAnsi"/>
        </w:rPr>
      </w:pPr>
    </w:p>
    <w:tbl>
      <w:tblPr>
        <w:tblW w:w="5000" w:type="pct"/>
        <w:jc w:val="center"/>
        <w:tblCellMar>
          <w:left w:w="70" w:type="dxa"/>
          <w:right w:w="70" w:type="dxa"/>
        </w:tblCellMar>
        <w:tblLook w:val="04A0" w:firstRow="1" w:lastRow="0" w:firstColumn="1" w:lastColumn="0" w:noHBand="0" w:noVBand="1"/>
      </w:tblPr>
      <w:tblGrid>
        <w:gridCol w:w="2295"/>
        <w:gridCol w:w="1905"/>
        <w:gridCol w:w="2867"/>
        <w:gridCol w:w="1995"/>
      </w:tblGrid>
      <w:tr w:rsidR="001126C7" w:rsidRPr="001126C7" w:rsidTr="00036A6E">
        <w:trPr>
          <w:trHeight w:val="300"/>
          <w:jc w:val="center"/>
        </w:trPr>
        <w:tc>
          <w:tcPr>
            <w:tcW w:w="1266" w:type="pct"/>
            <w:tcBorders>
              <w:top w:val="single" w:sz="4" w:space="0" w:color="auto"/>
              <w:left w:val="single" w:sz="4" w:space="0" w:color="auto"/>
              <w:bottom w:val="single" w:sz="4" w:space="0" w:color="auto"/>
              <w:right w:val="single" w:sz="4" w:space="0" w:color="auto"/>
            </w:tcBorders>
            <w:shd w:val="clear" w:color="000000" w:fill="44546A"/>
            <w:noWrap/>
            <w:vAlign w:val="bottom"/>
            <w:hideMark/>
          </w:tcPr>
          <w:p w:rsidR="001126C7" w:rsidRPr="001126C7" w:rsidRDefault="001126C7" w:rsidP="001126C7">
            <w:pPr>
              <w:spacing w:after="0" w:line="240" w:lineRule="auto"/>
              <w:rPr>
                <w:rFonts w:ascii="Calibri" w:eastAsia="Times New Roman" w:hAnsi="Calibri" w:cs="Times New Roman"/>
                <w:color w:val="D6DCE4"/>
                <w:lang w:eastAsia="fr-FR"/>
              </w:rPr>
            </w:pPr>
            <w:r>
              <w:rPr>
                <w:rFonts w:ascii="Calibri" w:eastAsia="Times New Roman" w:hAnsi="Calibri" w:cs="Times New Roman"/>
                <w:color w:val="D6DCE4"/>
                <w:lang w:eastAsia="fr-FR"/>
              </w:rPr>
              <w:t>Produits</w:t>
            </w:r>
          </w:p>
        </w:tc>
        <w:tc>
          <w:tcPr>
            <w:tcW w:w="1051" w:type="pct"/>
            <w:tcBorders>
              <w:top w:val="single" w:sz="4" w:space="0" w:color="auto"/>
              <w:left w:val="nil"/>
              <w:bottom w:val="single" w:sz="4" w:space="0" w:color="auto"/>
              <w:right w:val="single" w:sz="4" w:space="0" w:color="auto"/>
            </w:tcBorders>
            <w:shd w:val="clear" w:color="000000" w:fill="44546A"/>
            <w:noWrap/>
            <w:vAlign w:val="bottom"/>
            <w:hideMark/>
          </w:tcPr>
          <w:p w:rsidR="001126C7" w:rsidRPr="001126C7" w:rsidRDefault="001126C7" w:rsidP="001126C7">
            <w:pPr>
              <w:spacing w:after="0" w:line="240" w:lineRule="auto"/>
              <w:jc w:val="right"/>
              <w:rPr>
                <w:rFonts w:ascii="Calibri" w:eastAsia="Times New Roman" w:hAnsi="Calibri" w:cs="Times New Roman"/>
                <w:color w:val="D6DCE4"/>
                <w:lang w:eastAsia="fr-FR"/>
              </w:rPr>
            </w:pPr>
            <w:r w:rsidRPr="001126C7">
              <w:rPr>
                <w:rFonts w:ascii="Calibri" w:eastAsia="Times New Roman" w:hAnsi="Calibri" w:cs="Times New Roman"/>
                <w:color w:val="D6DCE4"/>
                <w:lang w:eastAsia="fr-FR"/>
              </w:rPr>
              <w:t xml:space="preserve">Montant </w:t>
            </w:r>
          </w:p>
        </w:tc>
        <w:tc>
          <w:tcPr>
            <w:tcW w:w="1582" w:type="pct"/>
            <w:tcBorders>
              <w:top w:val="single" w:sz="4" w:space="0" w:color="auto"/>
              <w:left w:val="nil"/>
              <w:bottom w:val="single" w:sz="4" w:space="0" w:color="auto"/>
              <w:right w:val="single" w:sz="4" w:space="0" w:color="auto"/>
            </w:tcBorders>
            <w:shd w:val="clear" w:color="000000" w:fill="44546A"/>
            <w:noWrap/>
            <w:vAlign w:val="bottom"/>
            <w:hideMark/>
          </w:tcPr>
          <w:p w:rsidR="001126C7" w:rsidRPr="001126C7" w:rsidRDefault="001126C7" w:rsidP="001126C7">
            <w:pPr>
              <w:spacing w:after="0" w:line="240" w:lineRule="auto"/>
              <w:rPr>
                <w:rFonts w:ascii="Calibri" w:eastAsia="Times New Roman" w:hAnsi="Calibri" w:cs="Times New Roman"/>
                <w:color w:val="D6DCE4"/>
                <w:lang w:eastAsia="fr-FR"/>
              </w:rPr>
            </w:pPr>
            <w:r>
              <w:rPr>
                <w:rFonts w:ascii="Calibri" w:eastAsia="Times New Roman" w:hAnsi="Calibri" w:cs="Times New Roman"/>
                <w:color w:val="D6DCE4"/>
                <w:lang w:eastAsia="fr-FR"/>
              </w:rPr>
              <w:t>Charges</w:t>
            </w:r>
          </w:p>
        </w:tc>
        <w:tc>
          <w:tcPr>
            <w:tcW w:w="1101" w:type="pct"/>
            <w:tcBorders>
              <w:top w:val="single" w:sz="4" w:space="0" w:color="auto"/>
              <w:left w:val="nil"/>
              <w:bottom w:val="single" w:sz="4" w:space="0" w:color="auto"/>
              <w:right w:val="single" w:sz="4" w:space="0" w:color="auto"/>
            </w:tcBorders>
            <w:shd w:val="clear" w:color="000000" w:fill="44546A"/>
            <w:noWrap/>
            <w:vAlign w:val="bottom"/>
            <w:hideMark/>
          </w:tcPr>
          <w:p w:rsidR="001126C7" w:rsidRPr="001126C7" w:rsidRDefault="001126C7" w:rsidP="001126C7">
            <w:pPr>
              <w:spacing w:after="0" w:line="240" w:lineRule="auto"/>
              <w:jc w:val="right"/>
              <w:rPr>
                <w:rFonts w:ascii="Calibri" w:eastAsia="Times New Roman" w:hAnsi="Calibri" w:cs="Times New Roman"/>
                <w:color w:val="D6DCE4"/>
                <w:lang w:eastAsia="fr-FR"/>
              </w:rPr>
            </w:pPr>
            <w:r w:rsidRPr="001126C7">
              <w:rPr>
                <w:rFonts w:ascii="Calibri" w:eastAsia="Times New Roman" w:hAnsi="Calibri" w:cs="Times New Roman"/>
                <w:color w:val="D6DCE4"/>
                <w:lang w:eastAsia="fr-FR"/>
              </w:rPr>
              <w:t xml:space="preserve">Montant </w:t>
            </w:r>
          </w:p>
        </w:tc>
      </w:tr>
      <w:tr w:rsidR="001126C7" w:rsidRPr="001126C7" w:rsidTr="00036A6E">
        <w:trPr>
          <w:trHeight w:val="300"/>
          <w:jc w:val="center"/>
        </w:trPr>
        <w:tc>
          <w:tcPr>
            <w:tcW w:w="1266" w:type="pct"/>
            <w:tcBorders>
              <w:top w:val="nil"/>
              <w:left w:val="single" w:sz="4" w:space="0" w:color="auto"/>
              <w:bottom w:val="single" w:sz="4" w:space="0" w:color="auto"/>
              <w:right w:val="single" w:sz="4" w:space="0" w:color="auto"/>
            </w:tcBorders>
            <w:shd w:val="clear" w:color="auto" w:fill="auto"/>
            <w:noWrap/>
            <w:vAlign w:val="bottom"/>
            <w:hideMark/>
          </w:tcPr>
          <w:p w:rsidR="001126C7" w:rsidRPr="001126C7" w:rsidRDefault="001126C7" w:rsidP="001126C7">
            <w:pPr>
              <w:spacing w:after="0" w:line="240" w:lineRule="auto"/>
              <w:rPr>
                <w:rFonts w:ascii="Calibri" w:eastAsia="Times New Roman" w:hAnsi="Calibri" w:cs="Times New Roman"/>
                <w:color w:val="000000"/>
                <w:lang w:eastAsia="fr-FR"/>
              </w:rPr>
            </w:pPr>
            <w:r w:rsidRPr="001126C7">
              <w:rPr>
                <w:rFonts w:ascii="Calibri" w:eastAsia="Times New Roman" w:hAnsi="Calibri" w:cs="Times New Roman"/>
                <w:color w:val="000000"/>
                <w:lang w:eastAsia="fr-FR"/>
              </w:rPr>
              <w:t>Subventions</w:t>
            </w:r>
          </w:p>
        </w:tc>
        <w:tc>
          <w:tcPr>
            <w:tcW w:w="1051" w:type="pct"/>
            <w:tcBorders>
              <w:top w:val="nil"/>
              <w:left w:val="nil"/>
              <w:bottom w:val="single" w:sz="4" w:space="0" w:color="auto"/>
              <w:right w:val="single" w:sz="4" w:space="0" w:color="auto"/>
            </w:tcBorders>
            <w:shd w:val="clear" w:color="auto" w:fill="auto"/>
            <w:noWrap/>
            <w:vAlign w:val="bottom"/>
            <w:hideMark/>
          </w:tcPr>
          <w:p w:rsidR="001126C7" w:rsidRPr="001126C7" w:rsidRDefault="001126C7" w:rsidP="001126C7">
            <w:pPr>
              <w:spacing w:after="0" w:line="240" w:lineRule="auto"/>
              <w:jc w:val="right"/>
              <w:rPr>
                <w:rFonts w:ascii="Calibri" w:eastAsia="Times New Roman" w:hAnsi="Calibri" w:cs="Times New Roman"/>
                <w:color w:val="000000"/>
                <w:lang w:eastAsia="fr-FR"/>
              </w:rPr>
            </w:pPr>
            <w:r w:rsidRPr="001126C7">
              <w:rPr>
                <w:rFonts w:ascii="Calibri" w:eastAsia="Times New Roman" w:hAnsi="Calibri" w:cs="Times New Roman"/>
                <w:color w:val="000000"/>
                <w:lang w:eastAsia="fr-FR"/>
              </w:rPr>
              <w:t>85 000 €</w:t>
            </w:r>
          </w:p>
        </w:tc>
        <w:tc>
          <w:tcPr>
            <w:tcW w:w="1582" w:type="pct"/>
            <w:tcBorders>
              <w:top w:val="nil"/>
              <w:left w:val="nil"/>
              <w:bottom w:val="single" w:sz="4" w:space="0" w:color="auto"/>
              <w:right w:val="single" w:sz="4" w:space="0" w:color="auto"/>
            </w:tcBorders>
            <w:shd w:val="clear" w:color="auto" w:fill="auto"/>
            <w:noWrap/>
            <w:vAlign w:val="bottom"/>
            <w:hideMark/>
          </w:tcPr>
          <w:p w:rsidR="001126C7" w:rsidRPr="001126C7" w:rsidRDefault="001126C7" w:rsidP="001126C7">
            <w:pPr>
              <w:spacing w:after="0" w:line="240" w:lineRule="auto"/>
              <w:rPr>
                <w:rFonts w:ascii="Calibri" w:eastAsia="Times New Roman" w:hAnsi="Calibri" w:cs="Times New Roman"/>
                <w:color w:val="000000"/>
                <w:lang w:eastAsia="fr-FR"/>
              </w:rPr>
            </w:pPr>
            <w:r w:rsidRPr="001126C7">
              <w:rPr>
                <w:rFonts w:ascii="Calibri" w:eastAsia="Times New Roman" w:hAnsi="Calibri" w:cs="Times New Roman"/>
                <w:color w:val="000000"/>
                <w:lang w:eastAsia="fr-FR"/>
              </w:rPr>
              <w:t>Charges récurrentes</w:t>
            </w:r>
          </w:p>
        </w:tc>
        <w:tc>
          <w:tcPr>
            <w:tcW w:w="1101" w:type="pct"/>
            <w:tcBorders>
              <w:top w:val="nil"/>
              <w:left w:val="nil"/>
              <w:bottom w:val="single" w:sz="4" w:space="0" w:color="auto"/>
              <w:right w:val="single" w:sz="4" w:space="0" w:color="auto"/>
            </w:tcBorders>
            <w:shd w:val="clear" w:color="auto" w:fill="auto"/>
            <w:noWrap/>
            <w:vAlign w:val="bottom"/>
            <w:hideMark/>
          </w:tcPr>
          <w:p w:rsidR="001126C7" w:rsidRPr="001126C7" w:rsidRDefault="001126C7" w:rsidP="001126C7">
            <w:pPr>
              <w:spacing w:after="0" w:line="240" w:lineRule="auto"/>
              <w:jc w:val="right"/>
              <w:rPr>
                <w:rFonts w:ascii="Calibri" w:eastAsia="Times New Roman" w:hAnsi="Calibri" w:cs="Times New Roman"/>
                <w:color w:val="000000"/>
                <w:lang w:eastAsia="fr-FR"/>
              </w:rPr>
            </w:pPr>
            <w:r w:rsidRPr="001126C7">
              <w:rPr>
                <w:rFonts w:ascii="Calibri" w:eastAsia="Times New Roman" w:hAnsi="Calibri" w:cs="Times New Roman"/>
                <w:color w:val="000000"/>
                <w:lang w:eastAsia="fr-FR"/>
              </w:rPr>
              <w:t>55 000 €</w:t>
            </w:r>
          </w:p>
        </w:tc>
      </w:tr>
      <w:tr w:rsidR="001126C7" w:rsidRPr="001126C7" w:rsidTr="00036A6E">
        <w:trPr>
          <w:trHeight w:val="300"/>
          <w:jc w:val="center"/>
        </w:trPr>
        <w:tc>
          <w:tcPr>
            <w:tcW w:w="1266" w:type="pct"/>
            <w:tcBorders>
              <w:top w:val="nil"/>
              <w:left w:val="single" w:sz="4" w:space="0" w:color="auto"/>
              <w:bottom w:val="single" w:sz="4" w:space="0" w:color="auto"/>
              <w:right w:val="single" w:sz="4" w:space="0" w:color="auto"/>
            </w:tcBorders>
            <w:shd w:val="clear" w:color="auto" w:fill="auto"/>
            <w:noWrap/>
            <w:vAlign w:val="bottom"/>
            <w:hideMark/>
          </w:tcPr>
          <w:p w:rsidR="001126C7" w:rsidRPr="001126C7" w:rsidRDefault="001126C7" w:rsidP="001126C7">
            <w:pPr>
              <w:spacing w:after="0" w:line="240" w:lineRule="auto"/>
              <w:rPr>
                <w:rFonts w:ascii="Calibri" w:eastAsia="Times New Roman" w:hAnsi="Calibri" w:cs="Times New Roman"/>
                <w:color w:val="000000"/>
                <w:lang w:eastAsia="fr-FR"/>
              </w:rPr>
            </w:pPr>
            <w:r w:rsidRPr="001126C7">
              <w:rPr>
                <w:rFonts w:ascii="Calibri" w:eastAsia="Times New Roman" w:hAnsi="Calibri" w:cs="Times New Roman"/>
                <w:color w:val="000000"/>
                <w:lang w:eastAsia="fr-FR"/>
              </w:rPr>
              <w:t>Cotisations</w:t>
            </w:r>
          </w:p>
        </w:tc>
        <w:tc>
          <w:tcPr>
            <w:tcW w:w="1051" w:type="pct"/>
            <w:tcBorders>
              <w:top w:val="nil"/>
              <w:left w:val="nil"/>
              <w:bottom w:val="single" w:sz="4" w:space="0" w:color="auto"/>
              <w:right w:val="single" w:sz="4" w:space="0" w:color="auto"/>
            </w:tcBorders>
            <w:shd w:val="clear" w:color="auto" w:fill="auto"/>
            <w:noWrap/>
            <w:vAlign w:val="bottom"/>
            <w:hideMark/>
          </w:tcPr>
          <w:p w:rsidR="001126C7" w:rsidRPr="001126C7" w:rsidRDefault="001126C7" w:rsidP="001126C7">
            <w:pPr>
              <w:spacing w:after="0" w:line="240" w:lineRule="auto"/>
              <w:jc w:val="right"/>
              <w:rPr>
                <w:rFonts w:ascii="Calibri" w:eastAsia="Times New Roman" w:hAnsi="Calibri" w:cs="Times New Roman"/>
                <w:color w:val="000000"/>
                <w:lang w:eastAsia="fr-FR"/>
              </w:rPr>
            </w:pPr>
            <w:r w:rsidRPr="001126C7">
              <w:rPr>
                <w:rFonts w:ascii="Calibri" w:eastAsia="Times New Roman" w:hAnsi="Calibri" w:cs="Times New Roman"/>
                <w:color w:val="000000"/>
                <w:lang w:eastAsia="fr-FR"/>
              </w:rPr>
              <w:t>21 000 €</w:t>
            </w:r>
          </w:p>
        </w:tc>
        <w:tc>
          <w:tcPr>
            <w:tcW w:w="1582" w:type="pct"/>
            <w:tcBorders>
              <w:top w:val="nil"/>
              <w:left w:val="nil"/>
              <w:bottom w:val="single" w:sz="4" w:space="0" w:color="auto"/>
              <w:right w:val="single" w:sz="4" w:space="0" w:color="auto"/>
            </w:tcBorders>
            <w:shd w:val="clear" w:color="auto" w:fill="auto"/>
            <w:noWrap/>
            <w:vAlign w:val="bottom"/>
            <w:hideMark/>
          </w:tcPr>
          <w:p w:rsidR="001126C7" w:rsidRPr="001126C7" w:rsidRDefault="001126C7" w:rsidP="001126C7">
            <w:pPr>
              <w:spacing w:after="0" w:line="240" w:lineRule="auto"/>
              <w:rPr>
                <w:rFonts w:ascii="Calibri" w:eastAsia="Times New Roman" w:hAnsi="Calibri" w:cs="Times New Roman"/>
                <w:color w:val="000000"/>
                <w:lang w:eastAsia="fr-FR"/>
              </w:rPr>
            </w:pPr>
            <w:r w:rsidRPr="001126C7">
              <w:rPr>
                <w:rFonts w:ascii="Calibri" w:eastAsia="Times New Roman" w:hAnsi="Calibri" w:cs="Times New Roman"/>
                <w:color w:val="000000"/>
                <w:lang w:eastAsia="fr-FR"/>
              </w:rPr>
              <w:t xml:space="preserve">Réunions Ouagadougou </w:t>
            </w:r>
          </w:p>
        </w:tc>
        <w:tc>
          <w:tcPr>
            <w:tcW w:w="1101" w:type="pct"/>
            <w:tcBorders>
              <w:top w:val="nil"/>
              <w:left w:val="nil"/>
              <w:bottom w:val="single" w:sz="4" w:space="0" w:color="auto"/>
              <w:right w:val="single" w:sz="4" w:space="0" w:color="auto"/>
            </w:tcBorders>
            <w:shd w:val="clear" w:color="auto" w:fill="auto"/>
            <w:noWrap/>
            <w:vAlign w:val="bottom"/>
            <w:hideMark/>
          </w:tcPr>
          <w:p w:rsidR="001126C7" w:rsidRPr="001126C7" w:rsidRDefault="001126C7" w:rsidP="001126C7">
            <w:pPr>
              <w:spacing w:after="0" w:line="240" w:lineRule="auto"/>
              <w:jc w:val="right"/>
              <w:rPr>
                <w:rFonts w:ascii="Calibri" w:eastAsia="Times New Roman" w:hAnsi="Calibri" w:cs="Times New Roman"/>
                <w:color w:val="000000"/>
                <w:lang w:eastAsia="fr-FR"/>
              </w:rPr>
            </w:pPr>
            <w:r w:rsidRPr="001126C7">
              <w:rPr>
                <w:rFonts w:ascii="Calibri" w:eastAsia="Times New Roman" w:hAnsi="Calibri" w:cs="Times New Roman"/>
                <w:color w:val="000000"/>
                <w:lang w:eastAsia="fr-FR"/>
              </w:rPr>
              <w:t>25 000 €</w:t>
            </w:r>
          </w:p>
        </w:tc>
      </w:tr>
      <w:tr w:rsidR="001126C7" w:rsidRPr="001126C7" w:rsidTr="00036A6E">
        <w:trPr>
          <w:trHeight w:val="300"/>
          <w:jc w:val="center"/>
        </w:trPr>
        <w:tc>
          <w:tcPr>
            <w:tcW w:w="1266" w:type="pct"/>
            <w:tcBorders>
              <w:top w:val="nil"/>
              <w:left w:val="single" w:sz="4" w:space="0" w:color="auto"/>
              <w:bottom w:val="single" w:sz="4" w:space="0" w:color="auto"/>
              <w:right w:val="single" w:sz="4" w:space="0" w:color="auto"/>
            </w:tcBorders>
            <w:shd w:val="clear" w:color="auto" w:fill="auto"/>
            <w:noWrap/>
            <w:vAlign w:val="bottom"/>
            <w:hideMark/>
          </w:tcPr>
          <w:p w:rsidR="001126C7" w:rsidRPr="001126C7" w:rsidRDefault="001126C7" w:rsidP="001126C7">
            <w:pPr>
              <w:spacing w:after="0" w:line="240" w:lineRule="auto"/>
              <w:rPr>
                <w:rFonts w:ascii="Calibri" w:eastAsia="Times New Roman" w:hAnsi="Calibri" w:cs="Times New Roman"/>
                <w:color w:val="000000"/>
                <w:lang w:eastAsia="fr-FR"/>
              </w:rPr>
            </w:pPr>
            <w:r w:rsidRPr="001126C7">
              <w:rPr>
                <w:rFonts w:ascii="Calibri" w:eastAsia="Times New Roman" w:hAnsi="Calibri" w:cs="Times New Roman"/>
                <w:color w:val="000000"/>
                <w:lang w:eastAsia="fr-FR"/>
              </w:rPr>
              <w:t>Manifestations</w:t>
            </w:r>
          </w:p>
        </w:tc>
        <w:tc>
          <w:tcPr>
            <w:tcW w:w="1051" w:type="pct"/>
            <w:tcBorders>
              <w:top w:val="nil"/>
              <w:left w:val="nil"/>
              <w:bottom w:val="single" w:sz="4" w:space="0" w:color="auto"/>
              <w:right w:val="single" w:sz="4" w:space="0" w:color="auto"/>
            </w:tcBorders>
            <w:shd w:val="clear" w:color="auto" w:fill="auto"/>
            <w:noWrap/>
            <w:vAlign w:val="bottom"/>
            <w:hideMark/>
          </w:tcPr>
          <w:p w:rsidR="001126C7" w:rsidRPr="001126C7" w:rsidRDefault="001126C7" w:rsidP="001126C7">
            <w:pPr>
              <w:spacing w:after="0" w:line="240" w:lineRule="auto"/>
              <w:jc w:val="right"/>
              <w:rPr>
                <w:rFonts w:ascii="Calibri" w:eastAsia="Times New Roman" w:hAnsi="Calibri" w:cs="Times New Roman"/>
                <w:color w:val="000000"/>
                <w:lang w:eastAsia="fr-FR"/>
              </w:rPr>
            </w:pPr>
            <w:r w:rsidRPr="001126C7">
              <w:rPr>
                <w:rFonts w:ascii="Calibri" w:eastAsia="Times New Roman" w:hAnsi="Calibri" w:cs="Times New Roman"/>
                <w:color w:val="000000"/>
                <w:lang w:eastAsia="fr-FR"/>
              </w:rPr>
              <w:t>500 €</w:t>
            </w:r>
          </w:p>
        </w:tc>
        <w:tc>
          <w:tcPr>
            <w:tcW w:w="1582" w:type="pct"/>
            <w:tcBorders>
              <w:top w:val="nil"/>
              <w:left w:val="nil"/>
              <w:bottom w:val="single" w:sz="4" w:space="0" w:color="auto"/>
              <w:right w:val="single" w:sz="4" w:space="0" w:color="auto"/>
            </w:tcBorders>
            <w:shd w:val="clear" w:color="auto" w:fill="auto"/>
            <w:noWrap/>
            <w:vAlign w:val="bottom"/>
            <w:hideMark/>
          </w:tcPr>
          <w:p w:rsidR="001126C7" w:rsidRPr="001126C7" w:rsidRDefault="001126C7" w:rsidP="001126C7">
            <w:pPr>
              <w:spacing w:after="0" w:line="240" w:lineRule="auto"/>
              <w:rPr>
                <w:rFonts w:ascii="Calibri" w:eastAsia="Times New Roman" w:hAnsi="Calibri" w:cs="Times New Roman"/>
                <w:color w:val="000000"/>
                <w:lang w:eastAsia="fr-FR"/>
              </w:rPr>
            </w:pPr>
            <w:r w:rsidRPr="001126C7">
              <w:rPr>
                <w:rFonts w:ascii="Calibri" w:eastAsia="Times New Roman" w:hAnsi="Calibri" w:cs="Times New Roman"/>
                <w:color w:val="000000"/>
                <w:lang w:eastAsia="fr-FR"/>
              </w:rPr>
              <w:t>Réunion Marrakech</w:t>
            </w:r>
          </w:p>
        </w:tc>
        <w:tc>
          <w:tcPr>
            <w:tcW w:w="1101" w:type="pct"/>
            <w:tcBorders>
              <w:top w:val="nil"/>
              <w:left w:val="nil"/>
              <w:bottom w:val="single" w:sz="4" w:space="0" w:color="auto"/>
              <w:right w:val="single" w:sz="4" w:space="0" w:color="auto"/>
            </w:tcBorders>
            <w:shd w:val="clear" w:color="auto" w:fill="auto"/>
            <w:noWrap/>
            <w:vAlign w:val="bottom"/>
            <w:hideMark/>
          </w:tcPr>
          <w:p w:rsidR="001126C7" w:rsidRPr="001126C7" w:rsidRDefault="001126C7" w:rsidP="001126C7">
            <w:pPr>
              <w:spacing w:after="0" w:line="240" w:lineRule="auto"/>
              <w:jc w:val="right"/>
              <w:rPr>
                <w:rFonts w:ascii="Calibri" w:eastAsia="Times New Roman" w:hAnsi="Calibri" w:cs="Times New Roman"/>
                <w:color w:val="000000"/>
                <w:lang w:eastAsia="fr-FR"/>
              </w:rPr>
            </w:pPr>
            <w:r w:rsidRPr="001126C7">
              <w:rPr>
                <w:rFonts w:ascii="Calibri" w:eastAsia="Times New Roman" w:hAnsi="Calibri" w:cs="Times New Roman"/>
                <w:color w:val="000000"/>
                <w:lang w:eastAsia="fr-FR"/>
              </w:rPr>
              <w:t>15 000 €</w:t>
            </w:r>
          </w:p>
        </w:tc>
      </w:tr>
      <w:tr w:rsidR="001126C7" w:rsidRPr="001126C7" w:rsidTr="00036A6E">
        <w:trPr>
          <w:trHeight w:val="300"/>
          <w:jc w:val="center"/>
        </w:trPr>
        <w:tc>
          <w:tcPr>
            <w:tcW w:w="126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126C7" w:rsidRPr="001126C7" w:rsidRDefault="001126C7" w:rsidP="00036A6E">
            <w:pPr>
              <w:spacing w:after="0" w:line="240" w:lineRule="auto"/>
              <w:rPr>
                <w:rFonts w:ascii="Calibri" w:eastAsia="Times New Roman" w:hAnsi="Calibri" w:cs="Times New Roman"/>
                <w:color w:val="000000"/>
                <w:lang w:eastAsia="fr-FR"/>
              </w:rPr>
            </w:pPr>
            <w:r w:rsidRPr="001126C7">
              <w:rPr>
                <w:rFonts w:ascii="Calibri" w:eastAsia="Times New Roman" w:hAnsi="Calibri" w:cs="Times New Roman"/>
                <w:color w:val="000000"/>
                <w:lang w:eastAsia="fr-FR"/>
              </w:rPr>
              <w:t>Reprise excédent</w:t>
            </w:r>
          </w:p>
        </w:tc>
        <w:tc>
          <w:tcPr>
            <w:tcW w:w="105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126C7" w:rsidRPr="001126C7" w:rsidRDefault="001126C7" w:rsidP="00036A6E">
            <w:pPr>
              <w:spacing w:after="0" w:line="240" w:lineRule="auto"/>
              <w:jc w:val="right"/>
              <w:rPr>
                <w:rFonts w:ascii="Calibri" w:eastAsia="Times New Roman" w:hAnsi="Calibri" w:cs="Times New Roman"/>
                <w:color w:val="000000"/>
                <w:lang w:eastAsia="fr-FR"/>
              </w:rPr>
            </w:pPr>
            <w:r w:rsidRPr="001126C7">
              <w:rPr>
                <w:rFonts w:ascii="Calibri" w:eastAsia="Times New Roman" w:hAnsi="Calibri" w:cs="Times New Roman"/>
                <w:color w:val="000000"/>
                <w:lang w:eastAsia="fr-FR"/>
              </w:rPr>
              <w:t>12 235 €</w:t>
            </w:r>
          </w:p>
        </w:tc>
        <w:tc>
          <w:tcPr>
            <w:tcW w:w="1582" w:type="pct"/>
            <w:tcBorders>
              <w:top w:val="nil"/>
              <w:left w:val="nil"/>
              <w:bottom w:val="single" w:sz="4" w:space="0" w:color="auto"/>
              <w:right w:val="single" w:sz="4" w:space="0" w:color="auto"/>
            </w:tcBorders>
            <w:shd w:val="clear" w:color="auto" w:fill="auto"/>
            <w:noWrap/>
            <w:vAlign w:val="bottom"/>
            <w:hideMark/>
          </w:tcPr>
          <w:p w:rsidR="001126C7" w:rsidRPr="001126C7" w:rsidRDefault="001126C7" w:rsidP="001126C7">
            <w:pPr>
              <w:spacing w:after="0" w:line="240" w:lineRule="auto"/>
              <w:rPr>
                <w:rFonts w:ascii="Calibri" w:eastAsia="Times New Roman" w:hAnsi="Calibri" w:cs="Times New Roman"/>
                <w:color w:val="000000"/>
                <w:lang w:eastAsia="fr-FR"/>
              </w:rPr>
            </w:pPr>
            <w:r w:rsidRPr="001126C7">
              <w:rPr>
                <w:rFonts w:ascii="Calibri" w:eastAsia="Times New Roman" w:hAnsi="Calibri" w:cs="Times New Roman"/>
                <w:color w:val="000000"/>
                <w:lang w:eastAsia="fr-FR"/>
              </w:rPr>
              <w:t>Rapport institutionnel</w:t>
            </w:r>
          </w:p>
        </w:tc>
        <w:tc>
          <w:tcPr>
            <w:tcW w:w="1101" w:type="pct"/>
            <w:tcBorders>
              <w:top w:val="nil"/>
              <w:left w:val="nil"/>
              <w:bottom w:val="single" w:sz="4" w:space="0" w:color="auto"/>
              <w:right w:val="single" w:sz="4" w:space="0" w:color="auto"/>
            </w:tcBorders>
            <w:shd w:val="clear" w:color="auto" w:fill="auto"/>
            <w:noWrap/>
            <w:vAlign w:val="bottom"/>
            <w:hideMark/>
          </w:tcPr>
          <w:p w:rsidR="001126C7" w:rsidRPr="001126C7" w:rsidRDefault="001126C7" w:rsidP="001126C7">
            <w:pPr>
              <w:spacing w:after="0" w:line="240" w:lineRule="auto"/>
              <w:jc w:val="right"/>
              <w:rPr>
                <w:rFonts w:ascii="Calibri" w:eastAsia="Times New Roman" w:hAnsi="Calibri" w:cs="Times New Roman"/>
                <w:color w:val="000000"/>
                <w:lang w:eastAsia="fr-FR"/>
              </w:rPr>
            </w:pPr>
            <w:r w:rsidRPr="001126C7">
              <w:rPr>
                <w:rFonts w:ascii="Calibri" w:eastAsia="Times New Roman" w:hAnsi="Calibri" w:cs="Times New Roman"/>
                <w:color w:val="000000"/>
                <w:lang w:eastAsia="fr-FR"/>
              </w:rPr>
              <w:t>10 000 €</w:t>
            </w:r>
          </w:p>
        </w:tc>
      </w:tr>
      <w:tr w:rsidR="001126C7" w:rsidRPr="001126C7" w:rsidTr="00036A6E">
        <w:trPr>
          <w:trHeight w:val="300"/>
          <w:jc w:val="center"/>
        </w:trPr>
        <w:tc>
          <w:tcPr>
            <w:tcW w:w="1266" w:type="pct"/>
            <w:vMerge/>
            <w:tcBorders>
              <w:top w:val="nil"/>
              <w:left w:val="single" w:sz="4" w:space="0" w:color="auto"/>
              <w:bottom w:val="single" w:sz="4" w:space="0" w:color="000000"/>
              <w:right w:val="single" w:sz="4" w:space="0" w:color="auto"/>
            </w:tcBorders>
            <w:vAlign w:val="center"/>
            <w:hideMark/>
          </w:tcPr>
          <w:p w:rsidR="001126C7" w:rsidRPr="001126C7" w:rsidRDefault="001126C7" w:rsidP="001126C7">
            <w:pPr>
              <w:spacing w:after="0" w:line="240" w:lineRule="auto"/>
              <w:rPr>
                <w:rFonts w:ascii="Calibri" w:eastAsia="Times New Roman" w:hAnsi="Calibri" w:cs="Times New Roman"/>
                <w:color w:val="000000"/>
                <w:lang w:eastAsia="fr-FR"/>
              </w:rPr>
            </w:pPr>
          </w:p>
        </w:tc>
        <w:tc>
          <w:tcPr>
            <w:tcW w:w="1051" w:type="pct"/>
            <w:vMerge/>
            <w:tcBorders>
              <w:top w:val="nil"/>
              <w:left w:val="single" w:sz="4" w:space="0" w:color="auto"/>
              <w:bottom w:val="single" w:sz="4" w:space="0" w:color="000000"/>
              <w:right w:val="single" w:sz="4" w:space="0" w:color="auto"/>
            </w:tcBorders>
            <w:vAlign w:val="center"/>
            <w:hideMark/>
          </w:tcPr>
          <w:p w:rsidR="001126C7" w:rsidRPr="001126C7" w:rsidRDefault="001126C7" w:rsidP="001126C7">
            <w:pPr>
              <w:spacing w:after="0" w:line="240" w:lineRule="auto"/>
              <w:rPr>
                <w:rFonts w:ascii="Calibri" w:eastAsia="Times New Roman" w:hAnsi="Calibri" w:cs="Times New Roman"/>
                <w:color w:val="000000"/>
                <w:lang w:eastAsia="fr-FR"/>
              </w:rPr>
            </w:pPr>
          </w:p>
        </w:tc>
        <w:tc>
          <w:tcPr>
            <w:tcW w:w="1582" w:type="pct"/>
            <w:tcBorders>
              <w:top w:val="nil"/>
              <w:left w:val="nil"/>
              <w:bottom w:val="single" w:sz="4" w:space="0" w:color="auto"/>
              <w:right w:val="single" w:sz="4" w:space="0" w:color="auto"/>
            </w:tcBorders>
            <w:shd w:val="clear" w:color="auto" w:fill="auto"/>
            <w:noWrap/>
            <w:vAlign w:val="bottom"/>
            <w:hideMark/>
          </w:tcPr>
          <w:p w:rsidR="001126C7" w:rsidRPr="001126C7" w:rsidRDefault="001126C7" w:rsidP="001126C7">
            <w:pPr>
              <w:spacing w:after="0" w:line="240" w:lineRule="auto"/>
              <w:rPr>
                <w:rFonts w:ascii="Calibri" w:eastAsia="Times New Roman" w:hAnsi="Calibri" w:cs="Times New Roman"/>
                <w:color w:val="000000"/>
                <w:lang w:eastAsia="fr-FR"/>
              </w:rPr>
            </w:pPr>
            <w:r w:rsidRPr="001126C7">
              <w:rPr>
                <w:rFonts w:ascii="Calibri" w:eastAsia="Times New Roman" w:hAnsi="Calibri" w:cs="Times New Roman"/>
                <w:color w:val="000000"/>
                <w:lang w:eastAsia="fr-FR"/>
              </w:rPr>
              <w:t>Réunion Strasbourg</w:t>
            </w:r>
          </w:p>
        </w:tc>
        <w:tc>
          <w:tcPr>
            <w:tcW w:w="1101" w:type="pct"/>
            <w:tcBorders>
              <w:top w:val="nil"/>
              <w:left w:val="nil"/>
              <w:bottom w:val="single" w:sz="4" w:space="0" w:color="auto"/>
              <w:right w:val="single" w:sz="4" w:space="0" w:color="auto"/>
            </w:tcBorders>
            <w:shd w:val="clear" w:color="auto" w:fill="auto"/>
            <w:noWrap/>
            <w:vAlign w:val="bottom"/>
            <w:hideMark/>
          </w:tcPr>
          <w:p w:rsidR="001126C7" w:rsidRPr="001126C7" w:rsidRDefault="001126C7" w:rsidP="001126C7">
            <w:pPr>
              <w:spacing w:after="0" w:line="240" w:lineRule="auto"/>
              <w:jc w:val="right"/>
              <w:rPr>
                <w:rFonts w:ascii="Calibri" w:eastAsia="Times New Roman" w:hAnsi="Calibri" w:cs="Times New Roman"/>
                <w:color w:val="000000"/>
                <w:lang w:eastAsia="fr-FR"/>
              </w:rPr>
            </w:pPr>
            <w:r w:rsidRPr="001126C7">
              <w:rPr>
                <w:rFonts w:ascii="Calibri" w:eastAsia="Times New Roman" w:hAnsi="Calibri" w:cs="Times New Roman"/>
                <w:color w:val="000000"/>
                <w:lang w:eastAsia="fr-FR"/>
              </w:rPr>
              <w:t>5 000 €</w:t>
            </w:r>
          </w:p>
        </w:tc>
      </w:tr>
      <w:tr w:rsidR="001126C7" w:rsidRPr="001126C7" w:rsidTr="00036A6E">
        <w:trPr>
          <w:trHeight w:val="300"/>
          <w:jc w:val="center"/>
        </w:trPr>
        <w:tc>
          <w:tcPr>
            <w:tcW w:w="1266" w:type="pct"/>
            <w:vMerge/>
            <w:tcBorders>
              <w:top w:val="nil"/>
              <w:left w:val="single" w:sz="4" w:space="0" w:color="auto"/>
              <w:bottom w:val="single" w:sz="4" w:space="0" w:color="000000"/>
              <w:right w:val="single" w:sz="4" w:space="0" w:color="auto"/>
            </w:tcBorders>
            <w:vAlign w:val="center"/>
            <w:hideMark/>
          </w:tcPr>
          <w:p w:rsidR="001126C7" w:rsidRPr="001126C7" w:rsidRDefault="001126C7" w:rsidP="001126C7">
            <w:pPr>
              <w:spacing w:after="0" w:line="240" w:lineRule="auto"/>
              <w:rPr>
                <w:rFonts w:ascii="Calibri" w:eastAsia="Times New Roman" w:hAnsi="Calibri" w:cs="Times New Roman"/>
                <w:color w:val="000000"/>
                <w:lang w:eastAsia="fr-FR"/>
              </w:rPr>
            </w:pPr>
          </w:p>
        </w:tc>
        <w:tc>
          <w:tcPr>
            <w:tcW w:w="1051" w:type="pct"/>
            <w:vMerge/>
            <w:tcBorders>
              <w:top w:val="nil"/>
              <w:left w:val="single" w:sz="4" w:space="0" w:color="auto"/>
              <w:bottom w:val="single" w:sz="4" w:space="0" w:color="000000"/>
              <w:right w:val="single" w:sz="4" w:space="0" w:color="auto"/>
            </w:tcBorders>
            <w:vAlign w:val="center"/>
            <w:hideMark/>
          </w:tcPr>
          <w:p w:rsidR="001126C7" w:rsidRPr="001126C7" w:rsidRDefault="001126C7" w:rsidP="001126C7">
            <w:pPr>
              <w:spacing w:after="0" w:line="240" w:lineRule="auto"/>
              <w:rPr>
                <w:rFonts w:ascii="Calibri" w:eastAsia="Times New Roman" w:hAnsi="Calibri" w:cs="Times New Roman"/>
                <w:color w:val="000000"/>
                <w:lang w:eastAsia="fr-FR"/>
              </w:rPr>
            </w:pPr>
          </w:p>
        </w:tc>
        <w:tc>
          <w:tcPr>
            <w:tcW w:w="1582" w:type="pct"/>
            <w:tcBorders>
              <w:top w:val="nil"/>
              <w:left w:val="nil"/>
              <w:bottom w:val="single" w:sz="4" w:space="0" w:color="auto"/>
              <w:right w:val="single" w:sz="4" w:space="0" w:color="auto"/>
            </w:tcBorders>
            <w:shd w:val="clear" w:color="auto" w:fill="auto"/>
            <w:noWrap/>
            <w:vAlign w:val="bottom"/>
            <w:hideMark/>
          </w:tcPr>
          <w:p w:rsidR="001126C7" w:rsidRPr="001126C7" w:rsidRDefault="001126C7" w:rsidP="001126C7">
            <w:pPr>
              <w:spacing w:after="0" w:line="240" w:lineRule="auto"/>
              <w:rPr>
                <w:rFonts w:ascii="Calibri" w:eastAsia="Times New Roman" w:hAnsi="Calibri" w:cs="Times New Roman"/>
                <w:color w:val="000000"/>
                <w:lang w:eastAsia="fr-FR"/>
              </w:rPr>
            </w:pPr>
            <w:r w:rsidRPr="001126C7">
              <w:rPr>
                <w:rFonts w:ascii="Calibri" w:eastAsia="Times New Roman" w:hAnsi="Calibri" w:cs="Times New Roman"/>
                <w:color w:val="000000"/>
                <w:lang w:eastAsia="fr-FR"/>
              </w:rPr>
              <w:t>Autres</w:t>
            </w:r>
          </w:p>
        </w:tc>
        <w:tc>
          <w:tcPr>
            <w:tcW w:w="1101" w:type="pct"/>
            <w:tcBorders>
              <w:top w:val="nil"/>
              <w:left w:val="nil"/>
              <w:bottom w:val="single" w:sz="4" w:space="0" w:color="auto"/>
              <w:right w:val="single" w:sz="4" w:space="0" w:color="auto"/>
            </w:tcBorders>
            <w:shd w:val="clear" w:color="auto" w:fill="auto"/>
            <w:noWrap/>
            <w:vAlign w:val="bottom"/>
            <w:hideMark/>
          </w:tcPr>
          <w:p w:rsidR="001126C7" w:rsidRPr="001126C7" w:rsidRDefault="001126C7" w:rsidP="001126C7">
            <w:pPr>
              <w:spacing w:after="0" w:line="240" w:lineRule="auto"/>
              <w:jc w:val="right"/>
              <w:rPr>
                <w:rFonts w:ascii="Calibri" w:eastAsia="Times New Roman" w:hAnsi="Calibri" w:cs="Times New Roman"/>
                <w:color w:val="000000"/>
                <w:lang w:eastAsia="fr-FR"/>
              </w:rPr>
            </w:pPr>
            <w:r w:rsidRPr="001126C7">
              <w:rPr>
                <w:rFonts w:ascii="Calibri" w:eastAsia="Times New Roman" w:hAnsi="Calibri" w:cs="Times New Roman"/>
                <w:color w:val="000000"/>
                <w:lang w:eastAsia="fr-FR"/>
              </w:rPr>
              <w:t>8 135 €</w:t>
            </w:r>
          </w:p>
        </w:tc>
      </w:tr>
      <w:tr w:rsidR="001126C7" w:rsidRPr="001126C7" w:rsidTr="00036A6E">
        <w:trPr>
          <w:trHeight w:val="300"/>
          <w:jc w:val="center"/>
        </w:trPr>
        <w:tc>
          <w:tcPr>
            <w:tcW w:w="1266" w:type="pct"/>
            <w:tcBorders>
              <w:top w:val="nil"/>
              <w:left w:val="single" w:sz="4" w:space="0" w:color="auto"/>
              <w:bottom w:val="single" w:sz="4" w:space="0" w:color="auto"/>
              <w:right w:val="single" w:sz="4" w:space="0" w:color="auto"/>
            </w:tcBorders>
            <w:shd w:val="clear" w:color="000000" w:fill="44546A"/>
            <w:noWrap/>
            <w:vAlign w:val="bottom"/>
            <w:hideMark/>
          </w:tcPr>
          <w:p w:rsidR="001126C7" w:rsidRPr="001126C7" w:rsidRDefault="001126C7" w:rsidP="001126C7">
            <w:pPr>
              <w:spacing w:after="0" w:line="240" w:lineRule="auto"/>
              <w:rPr>
                <w:rFonts w:ascii="Calibri" w:eastAsia="Times New Roman" w:hAnsi="Calibri" w:cs="Times New Roman"/>
                <w:b/>
                <w:color w:val="D6DCE4"/>
                <w:lang w:eastAsia="fr-FR"/>
              </w:rPr>
            </w:pPr>
            <w:r w:rsidRPr="001126C7">
              <w:rPr>
                <w:rFonts w:ascii="Calibri" w:eastAsia="Times New Roman" w:hAnsi="Calibri" w:cs="Times New Roman"/>
                <w:b/>
                <w:color w:val="D6DCE4"/>
                <w:lang w:eastAsia="fr-FR"/>
              </w:rPr>
              <w:t>Total</w:t>
            </w:r>
          </w:p>
        </w:tc>
        <w:tc>
          <w:tcPr>
            <w:tcW w:w="1051" w:type="pct"/>
            <w:tcBorders>
              <w:top w:val="nil"/>
              <w:left w:val="nil"/>
              <w:bottom w:val="single" w:sz="4" w:space="0" w:color="auto"/>
              <w:right w:val="single" w:sz="4" w:space="0" w:color="auto"/>
            </w:tcBorders>
            <w:shd w:val="clear" w:color="000000" w:fill="44546A"/>
            <w:noWrap/>
            <w:vAlign w:val="bottom"/>
            <w:hideMark/>
          </w:tcPr>
          <w:p w:rsidR="001126C7" w:rsidRPr="001126C7" w:rsidRDefault="001126C7" w:rsidP="001126C7">
            <w:pPr>
              <w:spacing w:after="0" w:line="240" w:lineRule="auto"/>
              <w:jc w:val="right"/>
              <w:rPr>
                <w:rFonts w:ascii="Calibri" w:eastAsia="Times New Roman" w:hAnsi="Calibri" w:cs="Times New Roman"/>
                <w:b/>
                <w:color w:val="D6DCE4"/>
                <w:lang w:eastAsia="fr-FR"/>
              </w:rPr>
            </w:pPr>
            <w:r w:rsidRPr="001126C7">
              <w:rPr>
                <w:rFonts w:ascii="Calibri" w:eastAsia="Times New Roman" w:hAnsi="Calibri" w:cs="Times New Roman"/>
                <w:b/>
                <w:color w:val="D6DCE4"/>
                <w:lang w:eastAsia="fr-FR"/>
              </w:rPr>
              <w:t>118 735 €</w:t>
            </w:r>
          </w:p>
        </w:tc>
        <w:tc>
          <w:tcPr>
            <w:tcW w:w="1582" w:type="pct"/>
            <w:tcBorders>
              <w:top w:val="nil"/>
              <w:left w:val="nil"/>
              <w:bottom w:val="single" w:sz="4" w:space="0" w:color="auto"/>
              <w:right w:val="single" w:sz="4" w:space="0" w:color="auto"/>
            </w:tcBorders>
            <w:shd w:val="clear" w:color="000000" w:fill="44546A"/>
            <w:noWrap/>
            <w:vAlign w:val="bottom"/>
            <w:hideMark/>
          </w:tcPr>
          <w:p w:rsidR="001126C7" w:rsidRPr="001126C7" w:rsidRDefault="001126C7" w:rsidP="001126C7">
            <w:pPr>
              <w:spacing w:after="0" w:line="240" w:lineRule="auto"/>
              <w:rPr>
                <w:rFonts w:ascii="Calibri" w:eastAsia="Times New Roman" w:hAnsi="Calibri" w:cs="Times New Roman"/>
                <w:b/>
                <w:color w:val="D6DCE4"/>
                <w:lang w:eastAsia="fr-FR"/>
              </w:rPr>
            </w:pPr>
            <w:r w:rsidRPr="001126C7">
              <w:rPr>
                <w:rFonts w:ascii="Calibri" w:eastAsia="Times New Roman" w:hAnsi="Calibri" w:cs="Times New Roman"/>
                <w:b/>
                <w:color w:val="D6DCE4"/>
                <w:lang w:eastAsia="fr-FR"/>
              </w:rPr>
              <w:t>Total</w:t>
            </w:r>
          </w:p>
        </w:tc>
        <w:tc>
          <w:tcPr>
            <w:tcW w:w="1101" w:type="pct"/>
            <w:tcBorders>
              <w:top w:val="nil"/>
              <w:left w:val="nil"/>
              <w:bottom w:val="single" w:sz="4" w:space="0" w:color="auto"/>
              <w:right w:val="single" w:sz="4" w:space="0" w:color="auto"/>
            </w:tcBorders>
            <w:shd w:val="clear" w:color="000000" w:fill="44546A"/>
            <w:noWrap/>
            <w:vAlign w:val="bottom"/>
            <w:hideMark/>
          </w:tcPr>
          <w:p w:rsidR="001126C7" w:rsidRPr="001126C7" w:rsidRDefault="001126C7" w:rsidP="001126C7">
            <w:pPr>
              <w:spacing w:after="0" w:line="240" w:lineRule="auto"/>
              <w:jc w:val="right"/>
              <w:rPr>
                <w:rFonts w:ascii="Calibri" w:eastAsia="Times New Roman" w:hAnsi="Calibri" w:cs="Times New Roman"/>
                <w:b/>
                <w:color w:val="D6DCE4"/>
                <w:lang w:eastAsia="fr-FR"/>
              </w:rPr>
            </w:pPr>
            <w:r w:rsidRPr="001126C7">
              <w:rPr>
                <w:rFonts w:ascii="Calibri" w:eastAsia="Times New Roman" w:hAnsi="Calibri" w:cs="Times New Roman"/>
                <w:b/>
                <w:color w:val="D6DCE4"/>
                <w:lang w:eastAsia="fr-FR"/>
              </w:rPr>
              <w:t>118 735 €</w:t>
            </w:r>
          </w:p>
        </w:tc>
      </w:tr>
    </w:tbl>
    <w:p w:rsidR="00FB60CF" w:rsidRPr="001126C7" w:rsidRDefault="000522F1" w:rsidP="005E1B04">
      <w:pPr>
        <w:pStyle w:val="Paragraphedeliste"/>
        <w:ind w:left="360" w:right="567"/>
        <w:jc w:val="right"/>
        <w:rPr>
          <w:rFonts w:asciiTheme="majorHAnsi" w:hAnsiTheme="majorHAnsi"/>
          <w:sz w:val="16"/>
          <w:szCs w:val="16"/>
        </w:rPr>
      </w:pPr>
      <w:r>
        <w:rPr>
          <w:rFonts w:asciiTheme="majorHAnsi" w:hAnsiTheme="majorHAnsi"/>
          <w:sz w:val="16"/>
          <w:szCs w:val="16"/>
        </w:rPr>
        <w:t>2</w:t>
      </w:r>
      <w:r w:rsidR="005E1B04">
        <w:rPr>
          <w:rFonts w:asciiTheme="majorHAnsi" w:hAnsiTheme="majorHAnsi"/>
          <w:sz w:val="16"/>
          <w:szCs w:val="16"/>
        </w:rPr>
        <w:t xml:space="preserve"> : </w:t>
      </w:r>
      <w:r w:rsidR="001126C7" w:rsidRPr="001126C7">
        <w:rPr>
          <w:rFonts w:asciiTheme="majorHAnsi" w:hAnsiTheme="majorHAnsi"/>
          <w:sz w:val="16"/>
          <w:szCs w:val="16"/>
        </w:rPr>
        <w:t>Budget prévisionnel 2016</w:t>
      </w:r>
    </w:p>
    <w:p w:rsidR="005E1B04" w:rsidRDefault="005E1B04">
      <w:pPr>
        <w:spacing w:after="160" w:line="259" w:lineRule="auto"/>
        <w:rPr>
          <w:rFonts w:asciiTheme="majorHAnsi" w:hAnsiTheme="majorHAnsi"/>
        </w:rPr>
      </w:pPr>
    </w:p>
    <w:p w:rsidR="00BE4C01" w:rsidRPr="00FB60CF" w:rsidRDefault="00BE4C01" w:rsidP="00BE4C01">
      <w:pPr>
        <w:pStyle w:val="Paragraphedeliste"/>
        <w:rPr>
          <w:rFonts w:asciiTheme="majorHAnsi" w:hAnsiTheme="majorHAnsi"/>
        </w:rPr>
      </w:pPr>
    </w:p>
    <w:p w:rsidR="00151D5F" w:rsidRPr="000522F1" w:rsidRDefault="000522F1" w:rsidP="00393B2E">
      <w:pPr>
        <w:pStyle w:val="Paragraphedeliste"/>
        <w:numPr>
          <w:ilvl w:val="0"/>
          <w:numId w:val="12"/>
        </w:numPr>
        <w:outlineLvl w:val="2"/>
        <w:rPr>
          <w:rFonts w:asciiTheme="majorHAnsi" w:hAnsiTheme="majorHAnsi"/>
          <w:i/>
        </w:rPr>
      </w:pPr>
      <w:r w:rsidRPr="000522F1">
        <w:rPr>
          <w:rFonts w:asciiTheme="majorHAnsi" w:hAnsiTheme="majorHAnsi"/>
          <w:b/>
          <w:color w:val="44546A" w:themeColor="text2"/>
        </w:rPr>
        <w:t xml:space="preserve"> </w:t>
      </w:r>
      <w:r w:rsidR="00BE4C01" w:rsidRPr="000522F1">
        <w:rPr>
          <w:rFonts w:asciiTheme="majorHAnsi" w:hAnsiTheme="majorHAnsi"/>
          <w:b/>
          <w:color w:val="44546A" w:themeColor="text2"/>
        </w:rPr>
        <w:t xml:space="preserve">Description des </w:t>
      </w:r>
      <w:r w:rsidR="00FB60CF" w:rsidRPr="000522F1">
        <w:rPr>
          <w:rFonts w:asciiTheme="majorHAnsi" w:hAnsiTheme="majorHAnsi"/>
          <w:b/>
          <w:color w:val="44546A" w:themeColor="text2"/>
        </w:rPr>
        <w:t>produits</w:t>
      </w:r>
    </w:p>
    <w:p w:rsidR="00151D5F" w:rsidRPr="00151D5F" w:rsidRDefault="00151D5F" w:rsidP="00151D5F">
      <w:pPr>
        <w:pStyle w:val="Paragraphedeliste"/>
        <w:rPr>
          <w:rFonts w:asciiTheme="majorHAnsi" w:hAnsiTheme="majorHAnsi"/>
          <w:i/>
        </w:rPr>
      </w:pPr>
    </w:p>
    <w:p w:rsidR="005E1B04" w:rsidRDefault="005E1B04" w:rsidP="005E1B04">
      <w:pPr>
        <w:pStyle w:val="Paragraphedeliste"/>
        <w:numPr>
          <w:ilvl w:val="0"/>
          <w:numId w:val="5"/>
        </w:numPr>
        <w:rPr>
          <w:rFonts w:asciiTheme="majorHAnsi" w:hAnsiTheme="majorHAnsi"/>
        </w:rPr>
      </w:pPr>
      <w:r w:rsidRPr="005E1B04">
        <w:rPr>
          <w:rFonts w:asciiTheme="majorHAnsi" w:hAnsiTheme="majorHAnsi"/>
        </w:rPr>
        <w:t>Les produits ont deux origines : les subventions et les cotisations. L’emploi de ces fonds vise deux catégories : les achats et charges externes et les salaires et charges sociales.</w:t>
      </w:r>
    </w:p>
    <w:p w:rsidR="005E1B04" w:rsidRPr="005E1B04" w:rsidRDefault="005E1B04" w:rsidP="005E1B04">
      <w:pPr>
        <w:pStyle w:val="Paragraphedeliste"/>
        <w:ind w:left="360"/>
        <w:rPr>
          <w:rFonts w:asciiTheme="majorHAnsi" w:hAnsiTheme="majorHAnsi"/>
        </w:rPr>
      </w:pPr>
    </w:p>
    <w:p w:rsidR="00BE4C01" w:rsidRPr="005E1B04" w:rsidRDefault="00151D5F" w:rsidP="005E1B04">
      <w:pPr>
        <w:pStyle w:val="Paragraphedeliste"/>
        <w:numPr>
          <w:ilvl w:val="0"/>
          <w:numId w:val="5"/>
        </w:numPr>
        <w:jc w:val="both"/>
        <w:rPr>
          <w:rFonts w:asciiTheme="majorHAnsi" w:hAnsiTheme="majorHAnsi"/>
        </w:rPr>
      </w:pPr>
      <w:r w:rsidRPr="00151D5F">
        <w:rPr>
          <w:rFonts w:asciiTheme="majorHAnsi" w:hAnsiTheme="majorHAnsi"/>
        </w:rPr>
        <w:t xml:space="preserve">Les produits d’exploitation s’élèvent en 2016 à 111 558 € et sont composées de deux catégories principales : les subventions </w:t>
      </w:r>
      <w:r>
        <w:rPr>
          <w:rFonts w:asciiTheme="majorHAnsi" w:hAnsiTheme="majorHAnsi"/>
        </w:rPr>
        <w:t xml:space="preserve">d’exploitations ; </w:t>
      </w:r>
      <w:r w:rsidRPr="00151D5F">
        <w:rPr>
          <w:rFonts w:asciiTheme="majorHAnsi" w:hAnsiTheme="majorHAnsi"/>
        </w:rPr>
        <w:t>et les cotisations et inscriptions.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
        <w:gridCol w:w="6359"/>
        <w:gridCol w:w="2072"/>
      </w:tblGrid>
      <w:tr w:rsidR="00BC79ED" w:rsidRPr="00FB60CF" w:rsidTr="00036A6E">
        <w:trPr>
          <w:trHeight w:val="293"/>
        </w:trPr>
        <w:tc>
          <w:tcPr>
            <w:tcW w:w="3857" w:type="pct"/>
            <w:gridSpan w:val="2"/>
            <w:tcBorders>
              <w:right w:val="nil"/>
            </w:tcBorders>
            <w:shd w:val="clear" w:color="auto" w:fill="44546A" w:themeFill="text2"/>
            <w:noWrap/>
            <w:vAlign w:val="center"/>
            <w:hideMark/>
          </w:tcPr>
          <w:p w:rsidR="00BC79ED" w:rsidRPr="00384101" w:rsidRDefault="00BC79ED" w:rsidP="008048FA">
            <w:pPr>
              <w:spacing w:after="0" w:line="240" w:lineRule="auto"/>
              <w:rPr>
                <w:rFonts w:asciiTheme="majorHAnsi" w:eastAsia="Times New Roman" w:hAnsiTheme="majorHAnsi" w:cs="Times New Roman"/>
                <w:color w:val="D5DCE4" w:themeColor="text2" w:themeTint="33"/>
                <w:lang w:eastAsia="fr-FR"/>
              </w:rPr>
            </w:pPr>
            <w:r w:rsidRPr="00384101">
              <w:rPr>
                <w:rFonts w:asciiTheme="majorHAnsi" w:eastAsia="Times New Roman" w:hAnsiTheme="majorHAnsi" w:cs="Times New Roman"/>
                <w:color w:val="D5DCE4" w:themeColor="text2" w:themeTint="33"/>
                <w:lang w:eastAsia="fr-FR"/>
              </w:rPr>
              <w:t>Produits</w:t>
            </w:r>
            <w:r w:rsidRPr="001126C7">
              <w:rPr>
                <w:rFonts w:asciiTheme="majorHAnsi" w:eastAsia="Times New Roman" w:hAnsiTheme="majorHAnsi" w:cs="Times New Roman"/>
                <w:color w:val="D5DCE4" w:themeColor="text2" w:themeTint="33"/>
                <w:lang w:eastAsia="fr-FR"/>
              </w:rPr>
              <w:t xml:space="preserve"> d’exploitation</w:t>
            </w:r>
          </w:p>
        </w:tc>
        <w:tc>
          <w:tcPr>
            <w:tcW w:w="1143" w:type="pct"/>
            <w:tcBorders>
              <w:left w:val="nil"/>
            </w:tcBorders>
            <w:shd w:val="clear" w:color="auto" w:fill="44546A" w:themeFill="text2"/>
            <w:noWrap/>
            <w:vAlign w:val="center"/>
            <w:hideMark/>
          </w:tcPr>
          <w:p w:rsidR="00BC79ED" w:rsidRPr="00384101" w:rsidRDefault="00BC79ED" w:rsidP="008048FA">
            <w:pPr>
              <w:spacing w:after="0" w:line="240" w:lineRule="auto"/>
              <w:rPr>
                <w:rFonts w:asciiTheme="majorHAnsi" w:eastAsia="Times New Roman" w:hAnsiTheme="majorHAnsi" w:cs="Times New Roman"/>
                <w:color w:val="D5DCE4" w:themeColor="text2" w:themeTint="33"/>
                <w:lang w:eastAsia="fr-FR"/>
              </w:rPr>
            </w:pPr>
            <w:r w:rsidRPr="00384101">
              <w:rPr>
                <w:rFonts w:asciiTheme="majorHAnsi" w:eastAsia="Times New Roman" w:hAnsiTheme="majorHAnsi" w:cs="Times New Roman"/>
                <w:color w:val="D5DCE4" w:themeColor="text2" w:themeTint="33"/>
                <w:lang w:eastAsia="fr-FR"/>
              </w:rPr>
              <w:t> </w:t>
            </w:r>
          </w:p>
        </w:tc>
      </w:tr>
      <w:tr w:rsidR="00BC79ED" w:rsidRPr="00FB60CF" w:rsidTr="00036A6E">
        <w:trPr>
          <w:trHeight w:val="293"/>
        </w:trPr>
        <w:tc>
          <w:tcPr>
            <w:tcW w:w="3857" w:type="pct"/>
            <w:gridSpan w:val="2"/>
            <w:shd w:val="clear" w:color="auto" w:fill="D5DCE4" w:themeFill="text2" w:themeFillTint="33"/>
            <w:noWrap/>
            <w:vAlign w:val="center"/>
            <w:hideMark/>
          </w:tcPr>
          <w:p w:rsidR="00BC79ED" w:rsidRPr="00384101" w:rsidRDefault="00BC79ED" w:rsidP="008048FA">
            <w:pPr>
              <w:spacing w:after="0" w:line="240" w:lineRule="auto"/>
              <w:rPr>
                <w:rFonts w:asciiTheme="majorHAnsi" w:eastAsia="Times New Roman" w:hAnsiTheme="majorHAnsi" w:cs="Times New Roman"/>
                <w:b/>
                <w:lang w:eastAsia="fr-FR"/>
              </w:rPr>
            </w:pPr>
            <w:r w:rsidRPr="00384101">
              <w:rPr>
                <w:rFonts w:asciiTheme="majorHAnsi" w:eastAsia="Times New Roman" w:hAnsiTheme="majorHAnsi" w:cs="Times New Roman"/>
                <w:b/>
                <w:lang w:eastAsia="fr-FR"/>
              </w:rPr>
              <w:t>Subventions d'exploitation</w:t>
            </w:r>
          </w:p>
        </w:tc>
        <w:tc>
          <w:tcPr>
            <w:tcW w:w="1143" w:type="pct"/>
            <w:shd w:val="clear" w:color="auto" w:fill="D5DCE4" w:themeFill="text2" w:themeFillTint="33"/>
            <w:noWrap/>
            <w:vAlign w:val="center"/>
            <w:hideMark/>
          </w:tcPr>
          <w:p w:rsidR="00BC79ED" w:rsidRPr="00384101" w:rsidRDefault="00BC79ED" w:rsidP="008048FA">
            <w:pPr>
              <w:spacing w:after="0" w:line="240" w:lineRule="auto"/>
              <w:jc w:val="right"/>
              <w:rPr>
                <w:rFonts w:asciiTheme="majorHAnsi" w:eastAsia="Times New Roman" w:hAnsiTheme="majorHAnsi" w:cs="Times New Roman"/>
                <w:b/>
                <w:lang w:eastAsia="fr-FR"/>
              </w:rPr>
            </w:pPr>
            <w:r w:rsidRPr="00384101">
              <w:rPr>
                <w:rFonts w:asciiTheme="majorHAnsi" w:eastAsia="Times New Roman" w:hAnsiTheme="majorHAnsi" w:cs="Times New Roman"/>
                <w:b/>
                <w:lang w:eastAsia="fr-FR"/>
              </w:rPr>
              <w:t>90 573 €</w:t>
            </w:r>
          </w:p>
        </w:tc>
      </w:tr>
      <w:tr w:rsidR="00BC79ED" w:rsidRPr="00FB60CF" w:rsidTr="00036A6E">
        <w:trPr>
          <w:gridBefore w:val="1"/>
          <w:wBefore w:w="349" w:type="pct"/>
          <w:trHeight w:val="293"/>
        </w:trPr>
        <w:tc>
          <w:tcPr>
            <w:tcW w:w="3508" w:type="pct"/>
            <w:shd w:val="clear" w:color="auto" w:fill="auto"/>
            <w:noWrap/>
            <w:vAlign w:val="center"/>
            <w:hideMark/>
          </w:tcPr>
          <w:p w:rsidR="00BC79ED" w:rsidRPr="00384101" w:rsidRDefault="00BC79ED" w:rsidP="008048FA">
            <w:pPr>
              <w:spacing w:after="0" w:line="240" w:lineRule="auto"/>
              <w:rPr>
                <w:rFonts w:asciiTheme="majorHAnsi" w:eastAsia="Times New Roman" w:hAnsiTheme="majorHAnsi" w:cs="Times New Roman"/>
                <w:lang w:eastAsia="fr-FR"/>
              </w:rPr>
            </w:pPr>
            <w:r w:rsidRPr="00384101">
              <w:rPr>
                <w:rFonts w:asciiTheme="majorHAnsi" w:eastAsia="Times New Roman" w:hAnsiTheme="majorHAnsi" w:cs="Times New Roman"/>
                <w:lang w:eastAsia="fr-FR"/>
              </w:rPr>
              <w:t>OIF</w:t>
            </w:r>
          </w:p>
        </w:tc>
        <w:tc>
          <w:tcPr>
            <w:tcW w:w="1143" w:type="pct"/>
            <w:shd w:val="clear" w:color="auto" w:fill="auto"/>
            <w:noWrap/>
            <w:vAlign w:val="center"/>
            <w:hideMark/>
          </w:tcPr>
          <w:p w:rsidR="00BC79ED" w:rsidRPr="00384101" w:rsidRDefault="00BC79ED" w:rsidP="008048FA">
            <w:pPr>
              <w:spacing w:after="0" w:line="240" w:lineRule="auto"/>
              <w:jc w:val="right"/>
              <w:rPr>
                <w:rFonts w:asciiTheme="majorHAnsi" w:eastAsia="Times New Roman" w:hAnsiTheme="majorHAnsi" w:cs="Times New Roman"/>
                <w:lang w:eastAsia="fr-FR"/>
              </w:rPr>
            </w:pPr>
            <w:r w:rsidRPr="00384101">
              <w:rPr>
                <w:rFonts w:asciiTheme="majorHAnsi" w:eastAsia="Times New Roman" w:hAnsiTheme="majorHAnsi" w:cs="Times New Roman"/>
                <w:lang w:eastAsia="fr-FR"/>
              </w:rPr>
              <w:t>45 573 €</w:t>
            </w:r>
          </w:p>
        </w:tc>
      </w:tr>
      <w:tr w:rsidR="00BC79ED" w:rsidRPr="00FB60CF" w:rsidTr="00036A6E">
        <w:trPr>
          <w:gridBefore w:val="1"/>
          <w:wBefore w:w="349" w:type="pct"/>
          <w:trHeight w:val="293"/>
        </w:trPr>
        <w:tc>
          <w:tcPr>
            <w:tcW w:w="3508" w:type="pct"/>
            <w:shd w:val="clear" w:color="auto" w:fill="auto"/>
            <w:noWrap/>
            <w:vAlign w:val="center"/>
            <w:hideMark/>
          </w:tcPr>
          <w:p w:rsidR="00BC79ED" w:rsidRPr="00384101" w:rsidRDefault="00BC79ED" w:rsidP="008048FA">
            <w:pPr>
              <w:spacing w:after="0" w:line="240" w:lineRule="auto"/>
              <w:rPr>
                <w:rFonts w:asciiTheme="majorHAnsi" w:eastAsia="Times New Roman" w:hAnsiTheme="majorHAnsi" w:cs="Times New Roman"/>
                <w:lang w:eastAsia="fr-FR"/>
              </w:rPr>
            </w:pPr>
            <w:r w:rsidRPr="00384101">
              <w:rPr>
                <w:rFonts w:asciiTheme="majorHAnsi" w:eastAsia="Times New Roman" w:hAnsiTheme="majorHAnsi" w:cs="Times New Roman"/>
                <w:lang w:eastAsia="fr-FR"/>
              </w:rPr>
              <w:t>SPM</w:t>
            </w:r>
          </w:p>
        </w:tc>
        <w:tc>
          <w:tcPr>
            <w:tcW w:w="1143" w:type="pct"/>
            <w:shd w:val="clear" w:color="auto" w:fill="auto"/>
            <w:noWrap/>
            <w:vAlign w:val="center"/>
            <w:hideMark/>
          </w:tcPr>
          <w:p w:rsidR="00BC79ED" w:rsidRPr="00384101" w:rsidRDefault="00BC79ED" w:rsidP="008048FA">
            <w:pPr>
              <w:spacing w:after="0" w:line="240" w:lineRule="auto"/>
              <w:jc w:val="right"/>
              <w:rPr>
                <w:rFonts w:asciiTheme="majorHAnsi" w:eastAsia="Times New Roman" w:hAnsiTheme="majorHAnsi" w:cs="Times New Roman"/>
                <w:lang w:eastAsia="fr-FR"/>
              </w:rPr>
            </w:pPr>
            <w:r w:rsidRPr="00384101">
              <w:rPr>
                <w:rFonts w:asciiTheme="majorHAnsi" w:eastAsia="Times New Roman" w:hAnsiTheme="majorHAnsi" w:cs="Times New Roman"/>
                <w:lang w:eastAsia="fr-FR"/>
              </w:rPr>
              <w:t>45 000 €</w:t>
            </w:r>
          </w:p>
        </w:tc>
      </w:tr>
      <w:tr w:rsidR="00036A6E" w:rsidRPr="00FB60CF" w:rsidTr="00036A6E">
        <w:trPr>
          <w:trHeight w:val="293"/>
        </w:trPr>
        <w:tc>
          <w:tcPr>
            <w:tcW w:w="3857" w:type="pct"/>
            <w:gridSpan w:val="2"/>
            <w:shd w:val="clear" w:color="auto" w:fill="D5DCE4" w:themeFill="text2" w:themeFillTint="33"/>
            <w:noWrap/>
            <w:vAlign w:val="center"/>
            <w:hideMark/>
          </w:tcPr>
          <w:p w:rsidR="00036A6E" w:rsidRPr="00384101" w:rsidRDefault="00036A6E" w:rsidP="008048FA">
            <w:pPr>
              <w:spacing w:after="0" w:line="240" w:lineRule="auto"/>
              <w:rPr>
                <w:rFonts w:asciiTheme="majorHAnsi" w:eastAsia="Times New Roman" w:hAnsiTheme="majorHAnsi" w:cs="Times New Roman"/>
                <w:b/>
                <w:lang w:eastAsia="fr-FR"/>
              </w:rPr>
            </w:pPr>
            <w:r w:rsidRPr="00384101">
              <w:rPr>
                <w:rFonts w:asciiTheme="majorHAnsi" w:eastAsia="Times New Roman" w:hAnsiTheme="majorHAnsi" w:cs="Times New Roman"/>
                <w:b/>
                <w:lang w:eastAsia="fr-FR"/>
              </w:rPr>
              <w:t>Cotisations et Inscriptions</w:t>
            </w:r>
          </w:p>
        </w:tc>
        <w:tc>
          <w:tcPr>
            <w:tcW w:w="1143" w:type="pct"/>
            <w:shd w:val="clear" w:color="auto" w:fill="D5DCE4" w:themeFill="text2" w:themeFillTint="33"/>
            <w:noWrap/>
            <w:vAlign w:val="center"/>
            <w:hideMark/>
          </w:tcPr>
          <w:p w:rsidR="00036A6E" w:rsidRPr="00384101" w:rsidRDefault="00036A6E" w:rsidP="008048FA">
            <w:pPr>
              <w:spacing w:after="0" w:line="240" w:lineRule="auto"/>
              <w:jc w:val="right"/>
              <w:rPr>
                <w:rFonts w:asciiTheme="majorHAnsi" w:eastAsia="Times New Roman" w:hAnsiTheme="majorHAnsi" w:cs="Times New Roman"/>
                <w:b/>
                <w:lang w:eastAsia="fr-FR"/>
              </w:rPr>
            </w:pPr>
            <w:r w:rsidRPr="00384101">
              <w:rPr>
                <w:rFonts w:asciiTheme="majorHAnsi" w:eastAsia="Times New Roman" w:hAnsiTheme="majorHAnsi" w:cs="Times New Roman"/>
                <w:b/>
                <w:lang w:eastAsia="fr-FR"/>
              </w:rPr>
              <w:t>20 985 €</w:t>
            </w:r>
          </w:p>
        </w:tc>
      </w:tr>
      <w:tr w:rsidR="00036A6E" w:rsidRPr="00FB60CF" w:rsidTr="00036A6E">
        <w:trPr>
          <w:trHeight w:val="293"/>
        </w:trPr>
        <w:tc>
          <w:tcPr>
            <w:tcW w:w="3857" w:type="pct"/>
            <w:gridSpan w:val="2"/>
            <w:shd w:val="clear" w:color="auto" w:fill="44546A" w:themeFill="text2"/>
            <w:noWrap/>
            <w:vAlign w:val="center"/>
            <w:hideMark/>
          </w:tcPr>
          <w:p w:rsidR="00036A6E" w:rsidRPr="00384101" w:rsidRDefault="00036A6E" w:rsidP="008048FA">
            <w:pPr>
              <w:spacing w:after="0" w:line="240" w:lineRule="auto"/>
              <w:rPr>
                <w:rFonts w:asciiTheme="majorHAnsi" w:eastAsia="Times New Roman" w:hAnsiTheme="majorHAnsi" w:cs="Times New Roman"/>
                <w:b/>
                <w:lang w:eastAsia="fr-FR"/>
              </w:rPr>
            </w:pPr>
            <w:r w:rsidRPr="00384101">
              <w:rPr>
                <w:rFonts w:asciiTheme="majorHAnsi" w:eastAsia="Times New Roman" w:hAnsiTheme="majorHAnsi" w:cs="Times New Roman"/>
                <w:b/>
                <w:color w:val="D5DCE4" w:themeColor="text2" w:themeTint="33"/>
                <w:lang w:eastAsia="fr-FR"/>
              </w:rPr>
              <w:t>TOTAL</w:t>
            </w:r>
          </w:p>
        </w:tc>
        <w:tc>
          <w:tcPr>
            <w:tcW w:w="1143" w:type="pct"/>
            <w:shd w:val="clear" w:color="auto" w:fill="44546A" w:themeFill="text2"/>
            <w:noWrap/>
            <w:vAlign w:val="center"/>
            <w:hideMark/>
          </w:tcPr>
          <w:p w:rsidR="00036A6E" w:rsidRPr="00384101" w:rsidRDefault="00036A6E" w:rsidP="008048FA">
            <w:pPr>
              <w:spacing w:after="0" w:line="240" w:lineRule="auto"/>
              <w:jc w:val="right"/>
              <w:rPr>
                <w:rFonts w:asciiTheme="majorHAnsi" w:eastAsia="Times New Roman" w:hAnsiTheme="majorHAnsi" w:cs="Times New Roman"/>
                <w:b/>
                <w:lang w:eastAsia="fr-FR"/>
              </w:rPr>
            </w:pPr>
            <w:r w:rsidRPr="00384101">
              <w:rPr>
                <w:rFonts w:asciiTheme="majorHAnsi" w:eastAsia="Times New Roman" w:hAnsiTheme="majorHAnsi" w:cs="Times New Roman"/>
                <w:b/>
                <w:color w:val="D5DCE4" w:themeColor="text2" w:themeTint="33"/>
                <w:lang w:eastAsia="fr-FR"/>
              </w:rPr>
              <w:t>111 558 €</w:t>
            </w:r>
          </w:p>
        </w:tc>
      </w:tr>
    </w:tbl>
    <w:p w:rsidR="001126C7" w:rsidRPr="005E1B04" w:rsidRDefault="000522F1" w:rsidP="005E1B04">
      <w:pPr>
        <w:jc w:val="right"/>
        <w:rPr>
          <w:rFonts w:asciiTheme="majorHAnsi" w:hAnsiTheme="majorHAnsi"/>
          <w:sz w:val="16"/>
        </w:rPr>
      </w:pPr>
      <w:r>
        <w:rPr>
          <w:rFonts w:asciiTheme="majorHAnsi" w:hAnsiTheme="majorHAnsi"/>
          <w:sz w:val="16"/>
        </w:rPr>
        <w:t>3</w:t>
      </w:r>
      <w:r w:rsidR="005E1B04" w:rsidRPr="005E1B04">
        <w:rPr>
          <w:rFonts w:asciiTheme="majorHAnsi" w:hAnsiTheme="majorHAnsi"/>
          <w:sz w:val="16"/>
        </w:rPr>
        <w:t> : Description des produits d’exploitation</w:t>
      </w:r>
    </w:p>
    <w:p w:rsidR="00BC79ED" w:rsidRDefault="00BC79ED" w:rsidP="00036A6E">
      <w:pPr>
        <w:jc w:val="center"/>
        <w:rPr>
          <w:rFonts w:asciiTheme="majorHAnsi" w:hAnsiTheme="majorHAnsi"/>
        </w:rPr>
      </w:pPr>
      <w:r w:rsidRPr="00FB60CF">
        <w:rPr>
          <w:rFonts w:asciiTheme="majorHAnsi" w:hAnsiTheme="majorHAnsi"/>
          <w:noProof/>
          <w:lang w:eastAsia="fr-FR"/>
        </w:rPr>
        <w:lastRenderedPageBreak/>
        <w:drawing>
          <wp:inline distT="0" distB="0" distL="0" distR="0" wp14:anchorId="37CA6538" wp14:editId="6A99E331">
            <wp:extent cx="4572000" cy="2743200"/>
            <wp:effectExtent l="0" t="0" r="0" b="0"/>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E1B04" w:rsidRPr="005E1B04" w:rsidRDefault="000522F1" w:rsidP="005E1B04">
      <w:pPr>
        <w:ind w:right="992"/>
        <w:jc w:val="right"/>
        <w:rPr>
          <w:rFonts w:asciiTheme="majorHAnsi" w:hAnsiTheme="majorHAnsi"/>
          <w:sz w:val="16"/>
        </w:rPr>
      </w:pPr>
      <w:r>
        <w:rPr>
          <w:rFonts w:asciiTheme="majorHAnsi" w:hAnsiTheme="majorHAnsi"/>
          <w:sz w:val="16"/>
        </w:rPr>
        <w:t>4</w:t>
      </w:r>
      <w:r w:rsidR="005E1B04" w:rsidRPr="005E1B04">
        <w:rPr>
          <w:rFonts w:asciiTheme="majorHAnsi" w:hAnsiTheme="majorHAnsi"/>
          <w:sz w:val="16"/>
        </w:rPr>
        <w:t> : Répartition des produits d’exploitation</w:t>
      </w:r>
    </w:p>
    <w:p w:rsidR="005E1B04" w:rsidRDefault="005E1B04" w:rsidP="005E1B04">
      <w:pPr>
        <w:jc w:val="center"/>
        <w:rPr>
          <w:rFonts w:asciiTheme="majorHAnsi" w:hAnsiTheme="majorHAnsi"/>
          <w:u w:val="single"/>
        </w:rPr>
      </w:pPr>
    </w:p>
    <w:p w:rsidR="005E1B04" w:rsidRDefault="005E1B04" w:rsidP="005E1B04">
      <w:pPr>
        <w:jc w:val="center"/>
        <w:rPr>
          <w:rFonts w:asciiTheme="majorHAnsi" w:hAnsiTheme="majorHAnsi"/>
          <w:u w:val="single"/>
        </w:rPr>
      </w:pPr>
      <w:r>
        <w:rPr>
          <w:noProof/>
          <w:lang w:eastAsia="fr-FR"/>
        </w:rPr>
        <w:drawing>
          <wp:inline distT="0" distB="0" distL="0" distR="0" wp14:anchorId="3C6203C7" wp14:editId="1737CAED">
            <wp:extent cx="5248275" cy="2743200"/>
            <wp:effectExtent l="0" t="0" r="9525" b="0"/>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E1B04" w:rsidRPr="005E1B04" w:rsidRDefault="000522F1" w:rsidP="005E1B04">
      <w:pPr>
        <w:ind w:right="708"/>
        <w:jc w:val="right"/>
        <w:rPr>
          <w:rFonts w:asciiTheme="majorHAnsi" w:hAnsiTheme="majorHAnsi"/>
          <w:sz w:val="16"/>
        </w:rPr>
      </w:pPr>
      <w:r>
        <w:rPr>
          <w:rFonts w:asciiTheme="majorHAnsi" w:hAnsiTheme="majorHAnsi"/>
          <w:sz w:val="16"/>
        </w:rPr>
        <w:t>5</w:t>
      </w:r>
      <w:r w:rsidR="005E1B04" w:rsidRPr="005E1B04">
        <w:rPr>
          <w:rFonts w:asciiTheme="majorHAnsi" w:hAnsiTheme="majorHAnsi"/>
          <w:sz w:val="16"/>
        </w:rPr>
        <w:t> : Evolution du produit d’exploitation</w:t>
      </w:r>
      <w:r w:rsidR="005E1B04">
        <w:rPr>
          <w:rFonts w:asciiTheme="majorHAnsi" w:hAnsiTheme="majorHAnsi"/>
          <w:sz w:val="16"/>
        </w:rPr>
        <w:t xml:space="preserve"> sur 3 ans</w:t>
      </w:r>
    </w:p>
    <w:p w:rsidR="00BE4C01" w:rsidRPr="00FB60CF" w:rsidRDefault="00BE4C01" w:rsidP="00BE4C01">
      <w:pPr>
        <w:jc w:val="both"/>
        <w:rPr>
          <w:rFonts w:asciiTheme="majorHAnsi" w:hAnsiTheme="majorHAnsi"/>
        </w:rPr>
      </w:pPr>
      <w:r w:rsidRPr="00FB60CF">
        <w:rPr>
          <w:rFonts w:asciiTheme="majorHAnsi" w:hAnsiTheme="majorHAnsi"/>
          <w:u w:val="single"/>
        </w:rPr>
        <w:t>Subventions</w:t>
      </w:r>
      <w:r w:rsidR="000522F1">
        <w:rPr>
          <w:rFonts w:asciiTheme="majorHAnsi" w:hAnsiTheme="majorHAnsi"/>
          <w:u w:val="single"/>
        </w:rPr>
        <w:t xml:space="preserve"> d’exploitation</w:t>
      </w:r>
    </w:p>
    <w:p w:rsidR="00151D5F" w:rsidRDefault="00151D5F" w:rsidP="00BE4C01">
      <w:pPr>
        <w:pStyle w:val="Paragraphedeliste"/>
        <w:numPr>
          <w:ilvl w:val="0"/>
          <w:numId w:val="5"/>
        </w:numPr>
        <w:jc w:val="both"/>
        <w:rPr>
          <w:rFonts w:asciiTheme="majorHAnsi" w:hAnsiTheme="majorHAnsi" w:cs="Vrinda"/>
        </w:rPr>
      </w:pPr>
      <w:r>
        <w:rPr>
          <w:rFonts w:asciiTheme="majorHAnsi" w:hAnsiTheme="majorHAnsi" w:cs="Vrinda"/>
        </w:rPr>
        <w:t>C</w:t>
      </w:r>
      <w:r w:rsidR="00BE4C01" w:rsidRPr="00FB60CF">
        <w:rPr>
          <w:rFonts w:asciiTheme="majorHAnsi" w:hAnsiTheme="majorHAnsi" w:cs="Vrinda"/>
        </w:rPr>
        <w:t xml:space="preserve">es subventions visent à soutenir la mise en œuvre de certaines actions inscrites au plan d’action de l’AFAPDP </w:t>
      </w:r>
      <w:r w:rsidR="00F0167E" w:rsidRPr="00FB60CF">
        <w:rPr>
          <w:rFonts w:asciiTheme="majorHAnsi" w:hAnsiTheme="majorHAnsi" w:cs="Vrinda"/>
        </w:rPr>
        <w:t>et en priorité</w:t>
      </w:r>
      <w:r>
        <w:rPr>
          <w:rFonts w:asciiTheme="majorHAnsi" w:hAnsiTheme="majorHAnsi" w:cs="Vrinda"/>
        </w:rPr>
        <w:t> :</w:t>
      </w:r>
      <w:r w:rsidR="00BE4C01" w:rsidRPr="00FB60CF">
        <w:rPr>
          <w:rFonts w:asciiTheme="majorHAnsi" w:hAnsiTheme="majorHAnsi" w:cs="Vrinda"/>
        </w:rPr>
        <w:t xml:space="preserve"> </w:t>
      </w:r>
    </w:p>
    <w:p w:rsidR="00151D5F" w:rsidRDefault="00BE4C01" w:rsidP="00151D5F">
      <w:pPr>
        <w:pStyle w:val="Paragraphedeliste"/>
        <w:numPr>
          <w:ilvl w:val="1"/>
          <w:numId w:val="5"/>
        </w:numPr>
        <w:jc w:val="both"/>
        <w:rPr>
          <w:rFonts w:asciiTheme="majorHAnsi" w:hAnsiTheme="majorHAnsi" w:cs="Vrinda"/>
        </w:rPr>
      </w:pPr>
      <w:r w:rsidRPr="00FB60CF">
        <w:rPr>
          <w:rFonts w:asciiTheme="majorHAnsi" w:hAnsiTheme="majorHAnsi" w:cs="Vrinda"/>
        </w:rPr>
        <w:t xml:space="preserve">l’organisation d’une Conférence des commissaires francophones à la protection des données et à la vie privée à </w:t>
      </w:r>
      <w:r w:rsidR="00E14A39" w:rsidRPr="00FB60CF">
        <w:rPr>
          <w:rFonts w:asciiTheme="majorHAnsi" w:hAnsiTheme="majorHAnsi" w:cs="Vrinda"/>
        </w:rPr>
        <w:t>Ouagadougou</w:t>
      </w:r>
      <w:r w:rsidRPr="00FB60CF">
        <w:rPr>
          <w:rFonts w:asciiTheme="majorHAnsi" w:hAnsiTheme="majorHAnsi" w:cs="Vrinda"/>
        </w:rPr>
        <w:t xml:space="preserve"> les </w:t>
      </w:r>
      <w:r w:rsidR="00E14A39" w:rsidRPr="00FB60CF">
        <w:rPr>
          <w:rFonts w:asciiTheme="majorHAnsi" w:hAnsiTheme="majorHAnsi" w:cs="Vrinda"/>
        </w:rPr>
        <w:t>22</w:t>
      </w:r>
      <w:r w:rsidRPr="00FB60CF">
        <w:rPr>
          <w:rFonts w:asciiTheme="majorHAnsi" w:hAnsiTheme="majorHAnsi" w:cs="Vrinda"/>
        </w:rPr>
        <w:t xml:space="preserve"> et </w:t>
      </w:r>
      <w:r w:rsidR="00E14A39" w:rsidRPr="00FB60CF">
        <w:rPr>
          <w:rFonts w:asciiTheme="majorHAnsi" w:hAnsiTheme="majorHAnsi" w:cs="Vrinda"/>
        </w:rPr>
        <w:t>23</w:t>
      </w:r>
      <w:r w:rsidRPr="00FB60CF">
        <w:rPr>
          <w:rFonts w:asciiTheme="majorHAnsi" w:hAnsiTheme="majorHAnsi" w:cs="Vrinda"/>
        </w:rPr>
        <w:t xml:space="preserve"> </w:t>
      </w:r>
      <w:r w:rsidR="00E14A39" w:rsidRPr="00FB60CF">
        <w:rPr>
          <w:rFonts w:asciiTheme="majorHAnsi" w:hAnsiTheme="majorHAnsi" w:cs="Vrinda"/>
        </w:rPr>
        <w:t>septembre 2016</w:t>
      </w:r>
      <w:r w:rsidR="00151D5F">
        <w:rPr>
          <w:rFonts w:asciiTheme="majorHAnsi" w:hAnsiTheme="majorHAnsi" w:cs="Vrinda"/>
        </w:rPr>
        <w:t> ;</w:t>
      </w:r>
      <w:r w:rsidRPr="00FB60CF">
        <w:rPr>
          <w:rFonts w:asciiTheme="majorHAnsi" w:hAnsiTheme="majorHAnsi" w:cs="Vrinda"/>
        </w:rPr>
        <w:t xml:space="preserve"> </w:t>
      </w:r>
    </w:p>
    <w:p w:rsidR="00151D5F" w:rsidRDefault="00E14A39" w:rsidP="00151D5F">
      <w:pPr>
        <w:pStyle w:val="Paragraphedeliste"/>
        <w:numPr>
          <w:ilvl w:val="1"/>
          <w:numId w:val="5"/>
        </w:numPr>
        <w:jc w:val="both"/>
        <w:rPr>
          <w:rFonts w:asciiTheme="majorHAnsi" w:hAnsiTheme="majorHAnsi" w:cs="Vrinda"/>
        </w:rPr>
      </w:pPr>
      <w:r w:rsidRPr="00FB60CF">
        <w:rPr>
          <w:rFonts w:asciiTheme="majorHAnsi" w:hAnsiTheme="majorHAnsi" w:cs="Vrinda"/>
        </w:rPr>
        <w:t>les formations et visites d’études organisées au cours de l’année</w:t>
      </w:r>
      <w:r w:rsidR="00151D5F">
        <w:rPr>
          <w:rFonts w:asciiTheme="majorHAnsi" w:hAnsiTheme="majorHAnsi" w:cs="Vrinda"/>
        </w:rPr>
        <w:t> ;</w:t>
      </w:r>
    </w:p>
    <w:p w:rsidR="00151D5F" w:rsidRDefault="00E14A39" w:rsidP="00151D5F">
      <w:pPr>
        <w:pStyle w:val="Paragraphedeliste"/>
        <w:numPr>
          <w:ilvl w:val="1"/>
          <w:numId w:val="5"/>
        </w:numPr>
        <w:jc w:val="both"/>
        <w:rPr>
          <w:rFonts w:asciiTheme="majorHAnsi" w:hAnsiTheme="majorHAnsi" w:cs="Vrinda"/>
        </w:rPr>
      </w:pPr>
      <w:r w:rsidRPr="00FB60CF">
        <w:rPr>
          <w:rFonts w:asciiTheme="majorHAnsi" w:hAnsiTheme="majorHAnsi" w:cs="Vrinda"/>
        </w:rPr>
        <w:t xml:space="preserve"> </w:t>
      </w:r>
      <w:r w:rsidR="00BE4C01" w:rsidRPr="00FB60CF">
        <w:rPr>
          <w:rFonts w:asciiTheme="majorHAnsi" w:hAnsiTheme="majorHAnsi" w:cs="Vrinda"/>
        </w:rPr>
        <w:t>l’intervention potentielle dans les pays francophones qui souhaitent promouvoir le droit à la protection des données</w:t>
      </w:r>
      <w:r w:rsidR="00151D5F">
        <w:rPr>
          <w:rFonts w:asciiTheme="majorHAnsi" w:hAnsiTheme="majorHAnsi" w:cs="Vrinda"/>
        </w:rPr>
        <w:t> ;</w:t>
      </w:r>
    </w:p>
    <w:p w:rsidR="00BE4C01" w:rsidRPr="00FB60CF" w:rsidRDefault="00BE4C01" w:rsidP="00151D5F">
      <w:pPr>
        <w:pStyle w:val="Paragraphedeliste"/>
        <w:numPr>
          <w:ilvl w:val="1"/>
          <w:numId w:val="5"/>
        </w:numPr>
        <w:jc w:val="both"/>
        <w:rPr>
          <w:rFonts w:asciiTheme="majorHAnsi" w:hAnsiTheme="majorHAnsi" w:cs="Vrinda"/>
        </w:rPr>
      </w:pPr>
      <w:r w:rsidRPr="00FB60CF">
        <w:rPr>
          <w:rFonts w:asciiTheme="majorHAnsi" w:hAnsiTheme="majorHAnsi" w:cs="Vrinda"/>
        </w:rPr>
        <w:lastRenderedPageBreak/>
        <w:t>le développement et la promotion des outils juridiques développés par les autorités de protection des données à destination des entreprises implantées dans l’espace francophone.</w:t>
      </w:r>
    </w:p>
    <w:p w:rsidR="00BE4C01" w:rsidRPr="00FB60CF" w:rsidRDefault="00BE4C01" w:rsidP="00BE4C01">
      <w:pPr>
        <w:pStyle w:val="Paragraphedeliste"/>
        <w:ind w:left="360"/>
        <w:jc w:val="both"/>
        <w:rPr>
          <w:rFonts w:asciiTheme="majorHAnsi" w:hAnsiTheme="majorHAnsi" w:cs="Vrinda"/>
        </w:rPr>
      </w:pPr>
    </w:p>
    <w:p w:rsidR="00036A6E" w:rsidRPr="00036A6E" w:rsidRDefault="00BE4C01" w:rsidP="00D333B4">
      <w:pPr>
        <w:pStyle w:val="Paragraphedeliste"/>
        <w:numPr>
          <w:ilvl w:val="0"/>
          <w:numId w:val="5"/>
        </w:numPr>
        <w:jc w:val="both"/>
        <w:rPr>
          <w:rFonts w:asciiTheme="majorHAnsi" w:hAnsiTheme="majorHAnsi" w:cs="Vrinda"/>
        </w:rPr>
      </w:pPr>
      <w:r w:rsidRPr="00FB60CF">
        <w:rPr>
          <w:rFonts w:asciiTheme="majorHAnsi" w:hAnsiTheme="majorHAnsi"/>
        </w:rPr>
        <w:t xml:space="preserve">Le montant versé par l’OIF au cours de l’année 2015 s’élève à </w:t>
      </w:r>
      <w:r w:rsidR="00D333B4" w:rsidRPr="00FB60CF">
        <w:rPr>
          <w:rFonts w:asciiTheme="majorHAnsi" w:hAnsiTheme="majorHAnsi"/>
        </w:rPr>
        <w:t>45 573</w:t>
      </w:r>
      <w:r w:rsidRPr="00FB60CF">
        <w:rPr>
          <w:rFonts w:asciiTheme="majorHAnsi" w:hAnsiTheme="majorHAnsi"/>
        </w:rPr>
        <w:t xml:space="preserve"> </w:t>
      </w:r>
      <w:r w:rsidR="00D333B4" w:rsidRPr="00FB60CF">
        <w:rPr>
          <w:rFonts w:asciiTheme="majorHAnsi" w:hAnsiTheme="majorHAnsi"/>
        </w:rPr>
        <w:t>€. On constate une augmentation de 42%</w:t>
      </w:r>
      <w:r w:rsidRPr="00FB60CF">
        <w:rPr>
          <w:rFonts w:asciiTheme="majorHAnsi" w:hAnsiTheme="majorHAnsi"/>
        </w:rPr>
        <w:t xml:space="preserve"> par rapport à l’exercice précédent (</w:t>
      </w:r>
      <w:r w:rsidR="00D333B4" w:rsidRPr="00FB60CF">
        <w:rPr>
          <w:rFonts w:asciiTheme="majorHAnsi" w:hAnsiTheme="majorHAnsi"/>
        </w:rPr>
        <w:t>32 097</w:t>
      </w:r>
      <w:r w:rsidRPr="00FB60CF">
        <w:rPr>
          <w:rFonts w:asciiTheme="majorHAnsi" w:hAnsiTheme="majorHAnsi"/>
        </w:rPr>
        <w:t xml:space="preserve"> €) due</w:t>
      </w:r>
      <w:r w:rsidR="00036A6E">
        <w:rPr>
          <w:rFonts w:asciiTheme="majorHAnsi" w:hAnsiTheme="majorHAnsi"/>
        </w:rPr>
        <w:t> :</w:t>
      </w:r>
    </w:p>
    <w:p w:rsidR="00036A6E" w:rsidRPr="00036A6E" w:rsidRDefault="00BE4C01" w:rsidP="00036A6E">
      <w:pPr>
        <w:pStyle w:val="Paragraphedeliste"/>
        <w:numPr>
          <w:ilvl w:val="1"/>
          <w:numId w:val="5"/>
        </w:numPr>
        <w:jc w:val="both"/>
        <w:rPr>
          <w:rFonts w:asciiTheme="majorHAnsi" w:hAnsiTheme="majorHAnsi" w:cs="Vrinda"/>
        </w:rPr>
      </w:pPr>
      <w:r w:rsidRPr="00FB60CF">
        <w:rPr>
          <w:rFonts w:asciiTheme="majorHAnsi" w:hAnsiTheme="majorHAnsi"/>
        </w:rPr>
        <w:t xml:space="preserve"> </w:t>
      </w:r>
      <w:r w:rsidR="00D333B4" w:rsidRPr="00FB60CF">
        <w:rPr>
          <w:rFonts w:asciiTheme="majorHAnsi" w:hAnsiTheme="majorHAnsi"/>
        </w:rPr>
        <w:t>à l’octroi exceptionnel d’une subvention de 40 000 € (au lieu de 30 000€ habituellement)</w:t>
      </w:r>
      <w:r w:rsidR="00036A6E">
        <w:rPr>
          <w:rFonts w:asciiTheme="majorHAnsi" w:hAnsiTheme="majorHAnsi"/>
        </w:rPr>
        <w:t> ;</w:t>
      </w:r>
    </w:p>
    <w:p w:rsidR="00036A6E" w:rsidRPr="00036A6E" w:rsidRDefault="00D333B4" w:rsidP="00036A6E">
      <w:pPr>
        <w:pStyle w:val="Paragraphedeliste"/>
        <w:numPr>
          <w:ilvl w:val="1"/>
          <w:numId w:val="5"/>
        </w:numPr>
        <w:jc w:val="both"/>
        <w:rPr>
          <w:rFonts w:asciiTheme="majorHAnsi" w:hAnsiTheme="majorHAnsi" w:cs="Vrinda"/>
        </w:rPr>
      </w:pPr>
      <w:r w:rsidRPr="00FB60CF">
        <w:rPr>
          <w:rFonts w:asciiTheme="majorHAnsi" w:hAnsiTheme="majorHAnsi"/>
        </w:rPr>
        <w:t xml:space="preserve">et </w:t>
      </w:r>
      <w:r w:rsidR="00BE4C01" w:rsidRPr="00FB60CF">
        <w:rPr>
          <w:rFonts w:asciiTheme="majorHAnsi" w:hAnsiTheme="majorHAnsi"/>
        </w:rPr>
        <w:t>aux dates et montants des tranches versées</w:t>
      </w:r>
      <w:r w:rsidRPr="00FB60CF">
        <w:rPr>
          <w:rFonts w:asciiTheme="majorHAnsi" w:hAnsiTheme="majorHAnsi"/>
        </w:rPr>
        <w:t> : 40 000€ au titre de l’année 2016, plus le versement de la dernière tranche de 5573,29 € de la subvention de 2015</w:t>
      </w:r>
      <w:r w:rsidR="00BE4C01" w:rsidRPr="00FB60CF">
        <w:rPr>
          <w:rFonts w:asciiTheme="majorHAnsi" w:hAnsiTheme="majorHAnsi"/>
        </w:rPr>
        <w:t xml:space="preserve">. </w:t>
      </w:r>
    </w:p>
    <w:p w:rsidR="00BE4C01" w:rsidRPr="00FB60CF" w:rsidRDefault="00151D5F" w:rsidP="00036A6E">
      <w:pPr>
        <w:pStyle w:val="Paragraphedeliste"/>
        <w:ind w:left="360"/>
        <w:jc w:val="both"/>
        <w:rPr>
          <w:rFonts w:asciiTheme="majorHAnsi" w:hAnsiTheme="majorHAnsi" w:cs="Vrinda"/>
        </w:rPr>
      </w:pPr>
      <w:r>
        <w:rPr>
          <w:rFonts w:asciiTheme="majorHAnsi" w:hAnsiTheme="majorHAnsi"/>
        </w:rPr>
        <w:t xml:space="preserve">Au 31 décembre 2016, 20 000 € restaient à percevoir, qui ont été comptabilisés parmi les actifs circulant. </w:t>
      </w:r>
      <w:r w:rsidR="00BE4C01" w:rsidRPr="00FB60CF">
        <w:rPr>
          <w:rFonts w:asciiTheme="majorHAnsi" w:hAnsiTheme="majorHAnsi"/>
        </w:rPr>
        <w:t>L’AFAPDP remet chaque fin d’année un rapport technique et financier pour expliquer l’utilisation détaillée de la subvention et les résultats atteints par rapport aux objectifs initialement formulés.</w:t>
      </w:r>
      <w:r>
        <w:rPr>
          <w:rFonts w:asciiTheme="majorHAnsi" w:hAnsiTheme="majorHAnsi"/>
        </w:rPr>
        <w:t xml:space="preserve"> </w:t>
      </w:r>
    </w:p>
    <w:p w:rsidR="00BE4C01" w:rsidRPr="00FB60CF" w:rsidRDefault="00BE4C01" w:rsidP="00BE4C01">
      <w:pPr>
        <w:pStyle w:val="Paragraphedeliste"/>
        <w:ind w:left="360"/>
        <w:jc w:val="both"/>
        <w:rPr>
          <w:rFonts w:asciiTheme="majorHAnsi" w:hAnsiTheme="majorHAnsi" w:cs="Vrinda"/>
        </w:rPr>
      </w:pPr>
    </w:p>
    <w:p w:rsidR="00BE4C01" w:rsidRPr="00FB60CF" w:rsidRDefault="00BE4C01" w:rsidP="00BE4C01">
      <w:pPr>
        <w:pStyle w:val="Paragraphedeliste"/>
        <w:numPr>
          <w:ilvl w:val="0"/>
          <w:numId w:val="5"/>
        </w:numPr>
        <w:jc w:val="both"/>
        <w:rPr>
          <w:rFonts w:asciiTheme="majorHAnsi" w:hAnsiTheme="majorHAnsi" w:cs="Vrinda"/>
        </w:rPr>
      </w:pPr>
      <w:r w:rsidRPr="00FB60CF">
        <w:rPr>
          <w:rFonts w:asciiTheme="majorHAnsi" w:hAnsiTheme="majorHAnsi" w:cs="Vrinda"/>
        </w:rPr>
        <w:t>L’AFAPDP perçoit également une subvention des Services du Premier ministre en France pour un montant de 45 000 €. Le montant versé en 201</w:t>
      </w:r>
      <w:r w:rsidR="00C9136A" w:rsidRPr="00FB60CF">
        <w:rPr>
          <w:rFonts w:asciiTheme="majorHAnsi" w:hAnsiTheme="majorHAnsi" w:cs="Vrinda"/>
        </w:rPr>
        <w:t>6</w:t>
      </w:r>
      <w:r w:rsidRPr="00FB60CF">
        <w:rPr>
          <w:rFonts w:asciiTheme="majorHAnsi" w:hAnsiTheme="majorHAnsi" w:cs="Vrinda"/>
        </w:rPr>
        <w:t xml:space="preserve"> est équivalent à l’exercice précédent. Le versement a eu lieu en une seule fois à la signature de la Convention annuelle d’objectifs entre le représentant du </w:t>
      </w:r>
      <w:r w:rsidR="00C9136A" w:rsidRPr="00FB60CF">
        <w:rPr>
          <w:rFonts w:asciiTheme="majorHAnsi" w:hAnsiTheme="majorHAnsi" w:cs="Vrinda"/>
        </w:rPr>
        <w:t xml:space="preserve">Premier ministre français et la Secrétaire générale </w:t>
      </w:r>
      <w:r w:rsidRPr="00FB60CF">
        <w:rPr>
          <w:rFonts w:asciiTheme="majorHAnsi" w:hAnsiTheme="majorHAnsi" w:cs="Vrinda"/>
        </w:rPr>
        <w:t>de l’AFAPDP</w:t>
      </w:r>
      <w:r w:rsidR="00C9136A" w:rsidRPr="00FB60CF">
        <w:rPr>
          <w:rFonts w:asciiTheme="majorHAnsi" w:hAnsiTheme="majorHAnsi" w:cs="Vrinda"/>
        </w:rPr>
        <w:t>, par délégation du Président</w:t>
      </w:r>
      <w:r w:rsidRPr="00FB60CF">
        <w:rPr>
          <w:rFonts w:asciiTheme="majorHAnsi" w:hAnsiTheme="majorHAnsi" w:cs="Vrinda"/>
        </w:rPr>
        <w:t xml:space="preserve">. </w:t>
      </w:r>
      <w:r w:rsidR="00561947" w:rsidRPr="00FB60CF">
        <w:rPr>
          <w:rFonts w:asciiTheme="majorHAnsi" w:hAnsiTheme="majorHAnsi" w:cs="Vrinda"/>
        </w:rPr>
        <w:t>Quatre</w:t>
      </w:r>
      <w:r w:rsidRPr="00FB60CF">
        <w:rPr>
          <w:rFonts w:asciiTheme="majorHAnsi" w:hAnsiTheme="majorHAnsi" w:cs="Vrinda"/>
        </w:rPr>
        <w:t xml:space="preserve"> conventions prévoyant le versement d’une subvention de 45 000 € ont été signées depuis 2013. Ce financement est indispensable au fonctionnement du Secrétariat général et à la réalisation des actions de l’AFAPDP. La subvention a pu être renouvelée sur la base de la remise d’un rapport financier et des comptes certifiés.</w:t>
      </w:r>
    </w:p>
    <w:p w:rsidR="00BE4C01" w:rsidRPr="000522F1" w:rsidRDefault="00BE4C01" w:rsidP="00BE4C01">
      <w:pPr>
        <w:jc w:val="both"/>
        <w:rPr>
          <w:rFonts w:asciiTheme="majorHAnsi" w:hAnsiTheme="majorHAnsi"/>
          <w:u w:val="single"/>
        </w:rPr>
      </w:pPr>
      <w:r w:rsidRPr="000522F1">
        <w:rPr>
          <w:rFonts w:asciiTheme="majorHAnsi" w:hAnsiTheme="majorHAnsi"/>
          <w:u w:val="single"/>
        </w:rPr>
        <w:t>Cotisations</w:t>
      </w:r>
      <w:r w:rsidR="00151D5F" w:rsidRPr="000522F1">
        <w:rPr>
          <w:rFonts w:asciiTheme="majorHAnsi" w:hAnsiTheme="majorHAnsi"/>
          <w:u w:val="single"/>
        </w:rPr>
        <w:t xml:space="preserve"> et inscriptions</w:t>
      </w:r>
    </w:p>
    <w:p w:rsidR="00BE4C01" w:rsidRDefault="00BE4C01" w:rsidP="00BE4C01">
      <w:pPr>
        <w:pStyle w:val="Paragraphedeliste"/>
        <w:numPr>
          <w:ilvl w:val="0"/>
          <w:numId w:val="5"/>
        </w:numPr>
        <w:jc w:val="both"/>
        <w:rPr>
          <w:rFonts w:asciiTheme="majorHAnsi" w:hAnsiTheme="majorHAnsi"/>
        </w:rPr>
      </w:pPr>
      <w:r w:rsidRPr="00FB60CF">
        <w:rPr>
          <w:rFonts w:asciiTheme="majorHAnsi" w:hAnsiTheme="majorHAnsi"/>
        </w:rPr>
        <w:t>Les cotisations versées à l’AFAPDP représentent un montant de 20 </w:t>
      </w:r>
      <w:r w:rsidR="00C9136A" w:rsidRPr="00FB60CF">
        <w:rPr>
          <w:rFonts w:asciiTheme="majorHAnsi" w:hAnsiTheme="majorHAnsi"/>
        </w:rPr>
        <w:t>93</w:t>
      </w:r>
      <w:r w:rsidRPr="00FB60CF">
        <w:rPr>
          <w:rFonts w:asciiTheme="majorHAnsi" w:hAnsiTheme="majorHAnsi"/>
        </w:rPr>
        <w:t xml:space="preserve">5 € soit une variation de </w:t>
      </w:r>
      <w:r w:rsidR="00C9136A" w:rsidRPr="00FB60CF">
        <w:rPr>
          <w:rFonts w:asciiTheme="majorHAnsi" w:hAnsiTheme="majorHAnsi"/>
        </w:rPr>
        <w:t>– 0.57</w:t>
      </w:r>
      <w:r w:rsidR="00561947" w:rsidRPr="00FB60CF">
        <w:rPr>
          <w:rFonts w:asciiTheme="majorHAnsi" w:hAnsiTheme="majorHAnsi"/>
        </w:rPr>
        <w:t xml:space="preserve"> %, </w:t>
      </w:r>
      <w:r w:rsidRPr="00FB60CF">
        <w:rPr>
          <w:rFonts w:asciiTheme="majorHAnsi" w:hAnsiTheme="majorHAnsi"/>
        </w:rPr>
        <w:t xml:space="preserve">ou </w:t>
      </w:r>
      <w:r w:rsidR="00C9136A" w:rsidRPr="00FB60CF">
        <w:rPr>
          <w:rFonts w:asciiTheme="majorHAnsi" w:hAnsiTheme="majorHAnsi"/>
        </w:rPr>
        <w:t>12</w:t>
      </w:r>
      <w:r w:rsidRPr="00FB60CF">
        <w:rPr>
          <w:rFonts w:asciiTheme="majorHAnsi" w:hAnsiTheme="majorHAnsi"/>
        </w:rPr>
        <w:t>0 €</w:t>
      </w:r>
      <w:r w:rsidR="00561947" w:rsidRPr="00FB60CF">
        <w:rPr>
          <w:rFonts w:asciiTheme="majorHAnsi" w:hAnsiTheme="majorHAnsi"/>
        </w:rPr>
        <w:t>,</w:t>
      </w:r>
      <w:r w:rsidRPr="00FB60CF">
        <w:rPr>
          <w:rFonts w:asciiTheme="majorHAnsi" w:hAnsiTheme="majorHAnsi"/>
        </w:rPr>
        <w:t xml:space="preserve"> par rapport à l’exer</w:t>
      </w:r>
      <w:r w:rsidR="00C9136A" w:rsidRPr="00FB60CF">
        <w:rPr>
          <w:rFonts w:asciiTheme="majorHAnsi" w:hAnsiTheme="majorHAnsi"/>
        </w:rPr>
        <w:t>cice précédent. Le montant est conforme</w:t>
      </w:r>
      <w:r w:rsidRPr="00FB60CF">
        <w:rPr>
          <w:rFonts w:asciiTheme="majorHAnsi" w:hAnsiTheme="majorHAnsi"/>
        </w:rPr>
        <w:t xml:space="preserve"> au prévisionnel fixé à </w:t>
      </w:r>
      <w:r w:rsidR="00C9136A" w:rsidRPr="00FB60CF">
        <w:rPr>
          <w:rFonts w:asciiTheme="majorHAnsi" w:hAnsiTheme="majorHAnsi"/>
        </w:rPr>
        <w:t>21 000</w:t>
      </w:r>
      <w:r w:rsidRPr="00FB60CF">
        <w:rPr>
          <w:rFonts w:asciiTheme="majorHAnsi" w:hAnsiTheme="majorHAnsi"/>
        </w:rPr>
        <w:t xml:space="preserve"> €. </w:t>
      </w:r>
      <w:r w:rsidR="00C9136A" w:rsidRPr="00FB60CF">
        <w:rPr>
          <w:rFonts w:asciiTheme="majorHAnsi" w:hAnsiTheme="majorHAnsi"/>
        </w:rPr>
        <w:t>Dix-huit</w:t>
      </w:r>
      <w:r w:rsidRPr="00FB60CF">
        <w:rPr>
          <w:rFonts w:asciiTheme="majorHAnsi" w:hAnsiTheme="majorHAnsi"/>
        </w:rPr>
        <w:t xml:space="preserve"> cotisations ont été versées à l’AFAPDP entre le </w:t>
      </w:r>
      <w:r w:rsidR="00C9136A" w:rsidRPr="00FB60CF">
        <w:rPr>
          <w:rFonts w:asciiTheme="majorHAnsi" w:hAnsiTheme="majorHAnsi"/>
        </w:rPr>
        <w:t>17</w:t>
      </w:r>
      <w:r w:rsidRPr="00FB60CF">
        <w:rPr>
          <w:rFonts w:asciiTheme="majorHAnsi" w:hAnsiTheme="majorHAnsi"/>
        </w:rPr>
        <w:t>/0</w:t>
      </w:r>
      <w:r w:rsidR="00C9136A" w:rsidRPr="00FB60CF">
        <w:rPr>
          <w:rFonts w:asciiTheme="majorHAnsi" w:hAnsiTheme="majorHAnsi"/>
        </w:rPr>
        <w:t>2</w:t>
      </w:r>
      <w:r w:rsidRPr="00FB60CF">
        <w:rPr>
          <w:rFonts w:asciiTheme="majorHAnsi" w:hAnsiTheme="majorHAnsi"/>
        </w:rPr>
        <w:t xml:space="preserve"> et le </w:t>
      </w:r>
      <w:r w:rsidR="00C9136A" w:rsidRPr="00FB60CF">
        <w:rPr>
          <w:rFonts w:asciiTheme="majorHAnsi" w:hAnsiTheme="majorHAnsi"/>
        </w:rPr>
        <w:t>31</w:t>
      </w:r>
      <w:r w:rsidRPr="00FB60CF">
        <w:rPr>
          <w:rFonts w:asciiTheme="majorHAnsi" w:hAnsiTheme="majorHAnsi"/>
        </w:rPr>
        <w:t>/10 (</w:t>
      </w:r>
      <w:r w:rsidR="00C9136A" w:rsidRPr="00FB60CF">
        <w:rPr>
          <w:rFonts w:asciiTheme="majorHAnsi" w:hAnsiTheme="majorHAnsi"/>
        </w:rPr>
        <w:t>soit deux de plus qu’en 2015</w:t>
      </w:r>
      <w:r w:rsidRPr="00FB60CF">
        <w:rPr>
          <w:rFonts w:asciiTheme="majorHAnsi" w:hAnsiTheme="majorHAnsi"/>
        </w:rPr>
        <w:t>) dont les montants varient de 200 à 6 000 €.</w:t>
      </w:r>
    </w:p>
    <w:p w:rsidR="00151D5F" w:rsidRPr="00FB60CF" w:rsidRDefault="00151D5F" w:rsidP="00151D5F">
      <w:pPr>
        <w:pStyle w:val="Paragraphedeliste"/>
        <w:ind w:left="360"/>
        <w:jc w:val="both"/>
        <w:rPr>
          <w:rFonts w:asciiTheme="majorHAnsi" w:hAnsiTheme="majorHAnsi"/>
        </w:rPr>
      </w:pPr>
    </w:p>
    <w:p w:rsidR="00BE4C01" w:rsidRPr="00FB60CF" w:rsidRDefault="00BE4C01" w:rsidP="00BE4C01">
      <w:pPr>
        <w:pStyle w:val="Paragraphedeliste"/>
        <w:numPr>
          <w:ilvl w:val="0"/>
          <w:numId w:val="5"/>
        </w:numPr>
        <w:jc w:val="both"/>
        <w:rPr>
          <w:rFonts w:asciiTheme="majorHAnsi" w:hAnsiTheme="majorHAnsi"/>
        </w:rPr>
      </w:pPr>
      <w:r w:rsidRPr="00FB60CF">
        <w:rPr>
          <w:rFonts w:asciiTheme="majorHAnsi" w:hAnsiTheme="majorHAnsi"/>
        </w:rPr>
        <w:t xml:space="preserve">Les frais d’inscription </w:t>
      </w:r>
      <w:r w:rsidR="00C9136A" w:rsidRPr="00FB60CF">
        <w:rPr>
          <w:rFonts w:asciiTheme="majorHAnsi" w:hAnsiTheme="majorHAnsi"/>
        </w:rPr>
        <w:t>d’un participant</w:t>
      </w:r>
      <w:r w:rsidRPr="00FB60CF">
        <w:rPr>
          <w:rFonts w:asciiTheme="majorHAnsi" w:hAnsiTheme="majorHAnsi"/>
        </w:rPr>
        <w:t xml:space="preserve"> à la </w:t>
      </w:r>
      <w:r w:rsidR="00C9136A" w:rsidRPr="00FB60CF">
        <w:rPr>
          <w:rFonts w:asciiTheme="majorHAnsi" w:hAnsiTheme="majorHAnsi"/>
        </w:rPr>
        <w:t>9</w:t>
      </w:r>
      <w:r w:rsidRPr="00FB60CF">
        <w:rPr>
          <w:rFonts w:asciiTheme="majorHAnsi" w:hAnsiTheme="majorHAnsi"/>
          <w:vertAlign w:val="superscript"/>
        </w:rPr>
        <w:t>ème</w:t>
      </w:r>
      <w:r w:rsidRPr="00FB60CF">
        <w:rPr>
          <w:rFonts w:asciiTheme="majorHAnsi" w:hAnsiTheme="majorHAnsi"/>
        </w:rPr>
        <w:t xml:space="preserve"> Conférence de l’AFAPDP organisée à </w:t>
      </w:r>
      <w:r w:rsidR="00C9136A" w:rsidRPr="00FB60CF">
        <w:rPr>
          <w:rFonts w:asciiTheme="majorHAnsi" w:hAnsiTheme="majorHAnsi"/>
        </w:rPr>
        <w:t>Ouagadougou</w:t>
      </w:r>
      <w:r w:rsidRPr="00FB60CF">
        <w:rPr>
          <w:rFonts w:asciiTheme="majorHAnsi" w:hAnsiTheme="majorHAnsi"/>
        </w:rPr>
        <w:t xml:space="preserve"> le </w:t>
      </w:r>
      <w:r w:rsidR="00C9136A" w:rsidRPr="00FB60CF">
        <w:rPr>
          <w:rFonts w:asciiTheme="majorHAnsi" w:hAnsiTheme="majorHAnsi"/>
        </w:rPr>
        <w:t>22 septembre ont rapporté 5</w:t>
      </w:r>
      <w:r w:rsidRPr="00FB60CF">
        <w:rPr>
          <w:rFonts w:asciiTheme="majorHAnsi" w:hAnsiTheme="majorHAnsi"/>
        </w:rPr>
        <w:t xml:space="preserve">0 €. </w:t>
      </w:r>
    </w:p>
    <w:p w:rsidR="00BE4C01" w:rsidRPr="00FB60CF" w:rsidRDefault="00BE4C01" w:rsidP="00BE4C01">
      <w:pPr>
        <w:jc w:val="both"/>
        <w:rPr>
          <w:rFonts w:asciiTheme="majorHAnsi" w:hAnsiTheme="majorHAnsi"/>
        </w:rPr>
      </w:pPr>
      <w:r w:rsidRPr="00FB60CF">
        <w:rPr>
          <w:rFonts w:asciiTheme="majorHAnsi" w:hAnsiTheme="majorHAnsi"/>
          <w:u w:val="single"/>
        </w:rPr>
        <w:t>Contributions en services</w:t>
      </w:r>
    </w:p>
    <w:p w:rsidR="00BE4C01" w:rsidRPr="00FB60CF" w:rsidRDefault="00BE4C01" w:rsidP="00BE4C01">
      <w:pPr>
        <w:pStyle w:val="Paragraphedeliste"/>
        <w:numPr>
          <w:ilvl w:val="0"/>
          <w:numId w:val="5"/>
        </w:numPr>
        <w:jc w:val="both"/>
        <w:rPr>
          <w:rFonts w:asciiTheme="majorHAnsi" w:hAnsiTheme="majorHAnsi"/>
        </w:rPr>
      </w:pPr>
      <w:r w:rsidRPr="00FB60CF">
        <w:rPr>
          <w:rFonts w:asciiTheme="majorHAnsi" w:hAnsiTheme="majorHAnsi"/>
        </w:rPr>
        <w:t>Il convient de mentionner l</w:t>
      </w:r>
      <w:r w:rsidR="00A53B09">
        <w:rPr>
          <w:rFonts w:asciiTheme="majorHAnsi" w:hAnsiTheme="majorHAnsi"/>
        </w:rPr>
        <w:t xml:space="preserve">’importance </w:t>
      </w:r>
      <w:r w:rsidRPr="00FB60CF">
        <w:rPr>
          <w:rFonts w:asciiTheme="majorHAnsi" w:hAnsiTheme="majorHAnsi"/>
        </w:rPr>
        <w:t xml:space="preserve">des contributions en services dont la mise à disposition gratuite de locaux et matériels, fournitures gratuites de téléphone et internet, de service de photocopies, mise à disposition de personnel juridique, informatique et logistique par la Commission nationale de l’informatique et des libertés </w:t>
      </w:r>
      <w:r w:rsidR="00A53B09">
        <w:rPr>
          <w:rFonts w:asciiTheme="majorHAnsi" w:hAnsiTheme="majorHAnsi"/>
        </w:rPr>
        <w:t xml:space="preserve">(CNIL) </w:t>
      </w:r>
      <w:r w:rsidRPr="00FB60CF">
        <w:rPr>
          <w:rFonts w:asciiTheme="majorHAnsi" w:hAnsiTheme="majorHAnsi"/>
        </w:rPr>
        <w:t xml:space="preserve">en </w:t>
      </w:r>
      <w:r w:rsidR="00561947" w:rsidRPr="00FB60CF">
        <w:rPr>
          <w:rFonts w:asciiTheme="majorHAnsi" w:hAnsiTheme="majorHAnsi"/>
        </w:rPr>
        <w:t>France,</w:t>
      </w:r>
      <w:r w:rsidRPr="00FB60CF">
        <w:rPr>
          <w:rFonts w:asciiTheme="majorHAnsi" w:hAnsiTheme="majorHAnsi"/>
        </w:rPr>
        <w:t xml:space="preserve"> qui abrite le siège social de l’</w:t>
      </w:r>
      <w:r w:rsidR="00151D5F">
        <w:rPr>
          <w:rFonts w:asciiTheme="majorHAnsi" w:hAnsiTheme="majorHAnsi"/>
        </w:rPr>
        <w:t>a</w:t>
      </w:r>
      <w:r w:rsidRPr="00FB60CF">
        <w:rPr>
          <w:rFonts w:asciiTheme="majorHAnsi" w:hAnsiTheme="majorHAnsi"/>
        </w:rPr>
        <w:t xml:space="preserve">ssociation à Paris. </w:t>
      </w:r>
    </w:p>
    <w:p w:rsidR="00BE4C01" w:rsidRPr="00FB60CF" w:rsidRDefault="00BE4C01" w:rsidP="00BE4C01">
      <w:pPr>
        <w:pStyle w:val="Paragraphedeliste"/>
        <w:ind w:left="360"/>
        <w:jc w:val="both"/>
        <w:rPr>
          <w:rFonts w:asciiTheme="majorHAnsi" w:hAnsiTheme="majorHAnsi"/>
        </w:rPr>
      </w:pPr>
    </w:p>
    <w:p w:rsidR="00BE4C01" w:rsidRDefault="00BE4C01" w:rsidP="000C6C23">
      <w:pPr>
        <w:pStyle w:val="Paragraphedeliste"/>
        <w:numPr>
          <w:ilvl w:val="0"/>
          <w:numId w:val="5"/>
        </w:numPr>
        <w:jc w:val="both"/>
        <w:rPr>
          <w:rFonts w:asciiTheme="majorHAnsi" w:hAnsiTheme="majorHAnsi"/>
        </w:rPr>
      </w:pPr>
      <w:r w:rsidRPr="00FB60CF">
        <w:rPr>
          <w:rFonts w:asciiTheme="majorHAnsi" w:hAnsiTheme="majorHAnsi"/>
        </w:rPr>
        <w:t>La C</w:t>
      </w:r>
      <w:r w:rsidR="00A53B09">
        <w:rPr>
          <w:rFonts w:asciiTheme="majorHAnsi" w:hAnsiTheme="majorHAnsi"/>
        </w:rPr>
        <w:t>ommission informatique et libertés (CIL)</w:t>
      </w:r>
      <w:r w:rsidRPr="00FB60CF">
        <w:rPr>
          <w:rFonts w:asciiTheme="majorHAnsi" w:hAnsiTheme="majorHAnsi"/>
        </w:rPr>
        <w:t xml:space="preserve"> </w:t>
      </w:r>
      <w:r w:rsidR="00F65FF7" w:rsidRPr="00FB60CF">
        <w:rPr>
          <w:rFonts w:asciiTheme="majorHAnsi" w:hAnsiTheme="majorHAnsi"/>
        </w:rPr>
        <w:t>burkinabé</w:t>
      </w:r>
      <w:r w:rsidRPr="00FB60CF">
        <w:rPr>
          <w:rFonts w:asciiTheme="majorHAnsi" w:hAnsiTheme="majorHAnsi"/>
        </w:rPr>
        <w:t xml:space="preserve"> a également apporté une contribution en service en tant que co-organisateur des réunions </w:t>
      </w:r>
      <w:r w:rsidR="00F65FF7" w:rsidRPr="00FB60CF">
        <w:rPr>
          <w:rFonts w:asciiTheme="majorHAnsi" w:hAnsiTheme="majorHAnsi"/>
        </w:rPr>
        <w:t>de septembre 2016</w:t>
      </w:r>
      <w:r w:rsidRPr="00FB60CF">
        <w:rPr>
          <w:rFonts w:asciiTheme="majorHAnsi" w:hAnsiTheme="majorHAnsi"/>
        </w:rPr>
        <w:t>. Elle a mis à disposition du matériel et des ressources financières et humaines, pris en charge l’organisation de nombreuses réunions téléphoniques et échanges électroniques.</w:t>
      </w:r>
    </w:p>
    <w:p w:rsidR="005E1B04" w:rsidRPr="005E1B04" w:rsidRDefault="005E1B04" w:rsidP="005E1B04">
      <w:pPr>
        <w:pStyle w:val="Paragraphedeliste"/>
        <w:rPr>
          <w:rFonts w:asciiTheme="majorHAnsi" w:hAnsiTheme="majorHAnsi"/>
        </w:rPr>
      </w:pPr>
    </w:p>
    <w:p w:rsidR="00A9235E" w:rsidRDefault="00A9235E" w:rsidP="00036A6E">
      <w:pPr>
        <w:spacing w:after="160" w:line="259" w:lineRule="auto"/>
        <w:rPr>
          <w:rFonts w:asciiTheme="majorHAnsi" w:hAnsiTheme="majorHAnsi"/>
          <w:b/>
          <w:color w:val="44546A" w:themeColor="text2"/>
        </w:rPr>
      </w:pPr>
    </w:p>
    <w:p w:rsidR="00BE4C01" w:rsidRPr="00A9235E" w:rsidRDefault="00A9235E" w:rsidP="00393B2E">
      <w:pPr>
        <w:pStyle w:val="Paragraphedeliste"/>
        <w:numPr>
          <w:ilvl w:val="0"/>
          <w:numId w:val="12"/>
        </w:numPr>
        <w:outlineLvl w:val="2"/>
        <w:rPr>
          <w:rFonts w:asciiTheme="majorHAnsi" w:hAnsiTheme="majorHAnsi"/>
          <w:b/>
          <w:color w:val="44546A" w:themeColor="text2"/>
        </w:rPr>
      </w:pPr>
      <w:r w:rsidRPr="00A9235E">
        <w:rPr>
          <w:rFonts w:asciiTheme="majorHAnsi" w:hAnsiTheme="majorHAnsi"/>
          <w:b/>
          <w:color w:val="44546A" w:themeColor="text2"/>
        </w:rPr>
        <w:t xml:space="preserve"> </w:t>
      </w:r>
      <w:r w:rsidR="00BE4C01" w:rsidRPr="00A9235E">
        <w:rPr>
          <w:rFonts w:asciiTheme="majorHAnsi" w:hAnsiTheme="majorHAnsi"/>
          <w:b/>
          <w:color w:val="44546A" w:themeColor="text2"/>
        </w:rPr>
        <w:t xml:space="preserve">Description des </w:t>
      </w:r>
      <w:r>
        <w:rPr>
          <w:rFonts w:asciiTheme="majorHAnsi" w:hAnsiTheme="majorHAnsi"/>
          <w:b/>
          <w:color w:val="44546A" w:themeColor="text2"/>
        </w:rPr>
        <w:t>charges</w:t>
      </w:r>
    </w:p>
    <w:p w:rsidR="00A9235E" w:rsidRPr="005E1B04" w:rsidRDefault="00A9235E" w:rsidP="00A9235E">
      <w:pPr>
        <w:pStyle w:val="Paragraphedeliste"/>
        <w:ind w:left="0"/>
        <w:rPr>
          <w:rFonts w:asciiTheme="majorHAnsi" w:hAnsiTheme="majorHAnsi"/>
          <w:b/>
          <w:color w:val="44546A" w:themeColor="text2"/>
        </w:rPr>
      </w:pPr>
    </w:p>
    <w:p w:rsidR="00BE4C01" w:rsidRPr="005E1B04" w:rsidRDefault="00BE4C01" w:rsidP="00BE4C01">
      <w:pPr>
        <w:pStyle w:val="Paragraphedeliste"/>
        <w:numPr>
          <w:ilvl w:val="0"/>
          <w:numId w:val="5"/>
        </w:numPr>
        <w:jc w:val="both"/>
        <w:rPr>
          <w:rFonts w:asciiTheme="majorHAnsi" w:hAnsiTheme="majorHAnsi"/>
        </w:rPr>
      </w:pPr>
      <w:r w:rsidRPr="005E1B04">
        <w:rPr>
          <w:rFonts w:asciiTheme="majorHAnsi" w:hAnsiTheme="majorHAnsi"/>
        </w:rPr>
        <w:t xml:space="preserve">Les </w:t>
      </w:r>
      <w:r w:rsidR="00A9235E" w:rsidRPr="005E1B04">
        <w:rPr>
          <w:rFonts w:asciiTheme="majorHAnsi" w:hAnsiTheme="majorHAnsi"/>
        </w:rPr>
        <w:t>charges</w:t>
      </w:r>
      <w:r w:rsidRPr="005E1B04">
        <w:rPr>
          <w:rFonts w:asciiTheme="majorHAnsi" w:hAnsiTheme="majorHAnsi"/>
        </w:rPr>
        <w:t xml:space="preserve"> </w:t>
      </w:r>
      <w:r w:rsidR="00A9235E" w:rsidRPr="005E1B04">
        <w:rPr>
          <w:rFonts w:asciiTheme="majorHAnsi" w:hAnsiTheme="majorHAnsi"/>
        </w:rPr>
        <w:t xml:space="preserve">d’exploitation </w:t>
      </w:r>
      <w:r w:rsidRPr="005E1B04">
        <w:rPr>
          <w:rFonts w:asciiTheme="majorHAnsi" w:hAnsiTheme="majorHAnsi"/>
        </w:rPr>
        <w:t>s’élèvent en 201</w:t>
      </w:r>
      <w:r w:rsidR="00621D5E" w:rsidRPr="005E1B04">
        <w:rPr>
          <w:rFonts w:asciiTheme="majorHAnsi" w:hAnsiTheme="majorHAnsi"/>
        </w:rPr>
        <w:t>6</w:t>
      </w:r>
      <w:r w:rsidRPr="005E1B04">
        <w:rPr>
          <w:rFonts w:asciiTheme="majorHAnsi" w:hAnsiTheme="majorHAnsi"/>
        </w:rPr>
        <w:t xml:space="preserve"> à </w:t>
      </w:r>
      <w:r w:rsidR="00621D5E" w:rsidRPr="005E1B04">
        <w:rPr>
          <w:rFonts w:asciiTheme="majorHAnsi" w:hAnsiTheme="majorHAnsi"/>
        </w:rPr>
        <w:t>103 116</w:t>
      </w:r>
      <w:r w:rsidRPr="005E1B04">
        <w:rPr>
          <w:rFonts w:asciiTheme="majorHAnsi" w:hAnsiTheme="majorHAnsi"/>
        </w:rPr>
        <w:t xml:space="preserve"> € et sont composées de deux catégories principales : les taxes, salaires et charges sociales et les voyages et déplacements qui représentent 8</w:t>
      </w:r>
      <w:r w:rsidR="000522F1">
        <w:rPr>
          <w:rFonts w:asciiTheme="majorHAnsi" w:hAnsiTheme="majorHAnsi"/>
        </w:rPr>
        <w:t xml:space="preserve">5 </w:t>
      </w:r>
      <w:r w:rsidRPr="005E1B04">
        <w:rPr>
          <w:rFonts w:asciiTheme="majorHAnsi" w:hAnsiTheme="majorHAnsi"/>
        </w:rPr>
        <w:t>% des dépenses.</w:t>
      </w:r>
    </w:p>
    <w:p w:rsidR="00475FE4" w:rsidRDefault="00475FE4" w:rsidP="00475FE4">
      <w:pPr>
        <w:jc w:val="center"/>
        <w:rPr>
          <w:rFonts w:asciiTheme="majorHAnsi" w:hAnsiTheme="majorHAnsi"/>
          <w:i/>
        </w:rPr>
      </w:pPr>
      <w:r>
        <w:rPr>
          <w:noProof/>
          <w:lang w:eastAsia="fr-FR"/>
        </w:rPr>
        <w:drawing>
          <wp:inline distT="0" distB="0" distL="0" distR="0" wp14:anchorId="226BF8B1" wp14:editId="11EBB7E1">
            <wp:extent cx="4572000" cy="2743200"/>
            <wp:effectExtent l="0" t="0" r="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75FE4" w:rsidRPr="005E1B04" w:rsidRDefault="000522F1" w:rsidP="005E1B04">
      <w:pPr>
        <w:ind w:right="992"/>
        <w:jc w:val="right"/>
        <w:rPr>
          <w:rFonts w:asciiTheme="majorHAnsi" w:hAnsiTheme="majorHAnsi"/>
          <w:sz w:val="16"/>
          <w:szCs w:val="16"/>
        </w:rPr>
      </w:pPr>
      <w:r>
        <w:rPr>
          <w:rFonts w:asciiTheme="majorHAnsi" w:hAnsiTheme="majorHAnsi"/>
          <w:sz w:val="16"/>
          <w:szCs w:val="16"/>
        </w:rPr>
        <w:t>6</w:t>
      </w:r>
      <w:r w:rsidR="005E1B04" w:rsidRPr="005E1B04">
        <w:rPr>
          <w:rFonts w:asciiTheme="majorHAnsi" w:hAnsiTheme="majorHAnsi"/>
          <w:sz w:val="16"/>
          <w:szCs w:val="16"/>
        </w:rPr>
        <w:t> : Répartition des charges d’exploitation</w:t>
      </w:r>
    </w:p>
    <w:p w:rsidR="005E1B04" w:rsidRDefault="005E1B04" w:rsidP="005E1B04">
      <w:pPr>
        <w:spacing w:after="160" w:line="259" w:lineRule="auto"/>
        <w:jc w:val="center"/>
        <w:rPr>
          <w:rFonts w:asciiTheme="majorHAnsi" w:hAnsiTheme="majorHAnsi"/>
          <w:u w:val="single"/>
        </w:rPr>
      </w:pPr>
      <w:r>
        <w:rPr>
          <w:noProof/>
          <w:lang w:eastAsia="fr-FR"/>
        </w:rPr>
        <w:drawing>
          <wp:inline distT="0" distB="0" distL="0" distR="0" wp14:anchorId="65395C27" wp14:editId="64914245">
            <wp:extent cx="5214938" cy="2795588"/>
            <wp:effectExtent l="0" t="0" r="5080" b="508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75FE4" w:rsidRPr="005E1B04" w:rsidRDefault="000522F1" w:rsidP="005E1B04">
      <w:pPr>
        <w:spacing w:after="160" w:line="259" w:lineRule="auto"/>
        <w:ind w:right="708"/>
        <w:jc w:val="right"/>
        <w:rPr>
          <w:rFonts w:asciiTheme="majorHAnsi" w:hAnsiTheme="majorHAnsi"/>
        </w:rPr>
      </w:pPr>
      <w:r>
        <w:rPr>
          <w:rFonts w:asciiTheme="majorHAnsi" w:hAnsiTheme="majorHAnsi"/>
          <w:sz w:val="16"/>
        </w:rPr>
        <w:t>7</w:t>
      </w:r>
      <w:r w:rsidR="005E1B04" w:rsidRPr="005E1B04">
        <w:rPr>
          <w:rFonts w:asciiTheme="majorHAnsi" w:hAnsiTheme="majorHAnsi"/>
          <w:sz w:val="16"/>
        </w:rPr>
        <w:t> : Evolution des charges d’exploitation sur 3 ans</w:t>
      </w:r>
      <w:r w:rsidR="00475FE4" w:rsidRPr="005E1B04">
        <w:rPr>
          <w:rFonts w:asciiTheme="majorHAnsi" w:hAnsiTheme="majorHAnsi"/>
        </w:rPr>
        <w:br w:type="page"/>
      </w:r>
    </w:p>
    <w:p w:rsidR="00BE4C01" w:rsidRPr="00FB60CF" w:rsidRDefault="00BE4C01" w:rsidP="00BE4C01">
      <w:pPr>
        <w:jc w:val="both"/>
        <w:rPr>
          <w:rFonts w:asciiTheme="majorHAnsi" w:hAnsiTheme="majorHAnsi"/>
        </w:rPr>
      </w:pPr>
      <w:r w:rsidRPr="00FB60CF">
        <w:rPr>
          <w:rFonts w:asciiTheme="majorHAnsi" w:hAnsiTheme="majorHAnsi"/>
          <w:u w:val="single"/>
        </w:rPr>
        <w:t>Taxes, salaires et charges sociales : 5</w:t>
      </w:r>
      <w:r w:rsidR="0015362C" w:rsidRPr="00FB60CF">
        <w:rPr>
          <w:rFonts w:asciiTheme="majorHAnsi" w:hAnsiTheme="majorHAnsi"/>
          <w:u w:val="single"/>
        </w:rPr>
        <w:t>8</w:t>
      </w:r>
      <w:r w:rsidRPr="00FB60CF">
        <w:rPr>
          <w:rFonts w:asciiTheme="majorHAnsi" w:hAnsiTheme="majorHAnsi"/>
          <w:u w:val="single"/>
        </w:rPr>
        <w:t xml:space="preserve"> % des dépenses en 201</w:t>
      </w:r>
      <w:r w:rsidR="0015362C" w:rsidRPr="00FB60CF">
        <w:rPr>
          <w:rFonts w:asciiTheme="majorHAnsi" w:hAnsiTheme="majorHAnsi"/>
          <w:u w:val="single"/>
        </w:rPr>
        <w:t>6</w:t>
      </w:r>
      <w:r w:rsidRPr="00FB60CF">
        <w:rPr>
          <w:rFonts w:asciiTheme="majorHAnsi" w:hAnsiTheme="majorHAnsi"/>
        </w:rPr>
        <w:t>.</w:t>
      </w:r>
    </w:p>
    <w:p w:rsidR="00BE4C01" w:rsidRPr="00FB60CF" w:rsidRDefault="00BE4C01" w:rsidP="00621D5E">
      <w:pPr>
        <w:pStyle w:val="Paragraphedeliste"/>
        <w:numPr>
          <w:ilvl w:val="0"/>
          <w:numId w:val="5"/>
        </w:numPr>
        <w:jc w:val="both"/>
        <w:rPr>
          <w:rFonts w:asciiTheme="majorHAnsi" w:hAnsiTheme="majorHAnsi"/>
        </w:rPr>
      </w:pPr>
      <w:r w:rsidRPr="00FB60CF">
        <w:rPr>
          <w:rFonts w:asciiTheme="majorHAnsi" w:hAnsiTheme="majorHAnsi"/>
        </w:rPr>
        <w:t xml:space="preserve">Le montant total de ces dépenses s’élève à </w:t>
      </w:r>
      <w:r w:rsidR="00621D5E" w:rsidRPr="00FB60CF">
        <w:rPr>
          <w:rFonts w:asciiTheme="majorHAnsi" w:hAnsiTheme="majorHAnsi"/>
        </w:rPr>
        <w:t xml:space="preserve">59 </w:t>
      </w:r>
      <w:r w:rsidR="003F11A7">
        <w:rPr>
          <w:rFonts w:asciiTheme="majorHAnsi" w:hAnsiTheme="majorHAnsi"/>
        </w:rPr>
        <w:t>707</w:t>
      </w:r>
      <w:r w:rsidR="00621D5E" w:rsidRPr="00FB60CF">
        <w:rPr>
          <w:rFonts w:asciiTheme="majorHAnsi" w:hAnsiTheme="majorHAnsi"/>
        </w:rPr>
        <w:t xml:space="preserve"> €, il </w:t>
      </w:r>
      <w:r w:rsidRPr="00FB60CF">
        <w:rPr>
          <w:rFonts w:asciiTheme="majorHAnsi" w:hAnsiTheme="majorHAnsi"/>
        </w:rPr>
        <w:t xml:space="preserve">est </w:t>
      </w:r>
      <w:r w:rsidR="00621D5E" w:rsidRPr="00FB60CF">
        <w:rPr>
          <w:rFonts w:asciiTheme="majorHAnsi" w:hAnsiTheme="majorHAnsi"/>
        </w:rPr>
        <w:t>supérieur</w:t>
      </w:r>
      <w:r w:rsidRPr="00FB60CF">
        <w:rPr>
          <w:rFonts w:asciiTheme="majorHAnsi" w:hAnsiTheme="majorHAnsi"/>
        </w:rPr>
        <w:t xml:space="preserve"> au budget prévisionnel (5</w:t>
      </w:r>
      <w:r w:rsidR="00621D5E" w:rsidRPr="00FB60CF">
        <w:rPr>
          <w:rFonts w:asciiTheme="majorHAnsi" w:hAnsiTheme="majorHAnsi"/>
        </w:rPr>
        <w:t>5</w:t>
      </w:r>
      <w:r w:rsidRPr="00FB60CF">
        <w:rPr>
          <w:rFonts w:asciiTheme="majorHAnsi" w:hAnsiTheme="majorHAnsi"/>
        </w:rPr>
        <w:t xml:space="preserve"> 000 €) et </w:t>
      </w:r>
      <w:r w:rsidR="00621D5E" w:rsidRPr="00FB60CF">
        <w:rPr>
          <w:rFonts w:asciiTheme="majorHAnsi" w:hAnsiTheme="majorHAnsi"/>
        </w:rPr>
        <w:t>en augmentation par rapport à 2015</w:t>
      </w:r>
      <w:r w:rsidRPr="00FB60CF">
        <w:rPr>
          <w:rFonts w:asciiTheme="majorHAnsi" w:hAnsiTheme="majorHAnsi"/>
        </w:rPr>
        <w:t xml:space="preserve"> (</w:t>
      </w:r>
      <w:r w:rsidR="00621D5E" w:rsidRPr="00FB60CF">
        <w:rPr>
          <w:rFonts w:asciiTheme="majorHAnsi" w:hAnsiTheme="majorHAnsi"/>
        </w:rPr>
        <w:t>50 193</w:t>
      </w:r>
      <w:r w:rsidRPr="00FB60CF">
        <w:rPr>
          <w:rFonts w:asciiTheme="majorHAnsi" w:hAnsiTheme="majorHAnsi"/>
        </w:rPr>
        <w:t>€)</w:t>
      </w:r>
      <w:r w:rsidR="00621D5E" w:rsidRPr="00FB60CF">
        <w:rPr>
          <w:rFonts w:asciiTheme="majorHAnsi" w:hAnsiTheme="majorHAnsi"/>
        </w:rPr>
        <w:t xml:space="preserve">, en raison </w:t>
      </w:r>
      <w:r w:rsidR="00561947" w:rsidRPr="00FB60CF">
        <w:rPr>
          <w:rFonts w:asciiTheme="majorHAnsi" w:hAnsiTheme="majorHAnsi"/>
        </w:rPr>
        <w:t>de la rupture conventionnelle de contrat de</w:t>
      </w:r>
      <w:r w:rsidR="00621D5E" w:rsidRPr="00FB60CF">
        <w:rPr>
          <w:rFonts w:asciiTheme="majorHAnsi" w:hAnsiTheme="majorHAnsi"/>
        </w:rPr>
        <w:t xml:space="preserve"> l’ancienne salariée de l’association : la différence correspond au montant du solde de </w:t>
      </w:r>
      <w:r w:rsidR="0015362C" w:rsidRPr="00FB60CF">
        <w:rPr>
          <w:rFonts w:asciiTheme="majorHAnsi" w:hAnsiTheme="majorHAnsi"/>
        </w:rPr>
        <w:t>tout compte</w:t>
      </w:r>
      <w:r w:rsidRPr="00FB60CF">
        <w:rPr>
          <w:rFonts w:asciiTheme="majorHAnsi" w:hAnsiTheme="majorHAnsi"/>
        </w:rPr>
        <w:t xml:space="preserve">. </w:t>
      </w:r>
    </w:p>
    <w:p w:rsidR="00BE4C01" w:rsidRPr="00FB60CF" w:rsidRDefault="00BE4C01" w:rsidP="00BE4C01">
      <w:pPr>
        <w:jc w:val="both"/>
        <w:rPr>
          <w:rFonts w:asciiTheme="majorHAnsi" w:hAnsiTheme="majorHAnsi"/>
          <w:u w:val="single"/>
        </w:rPr>
      </w:pPr>
      <w:r w:rsidRPr="00FB60CF">
        <w:rPr>
          <w:rFonts w:asciiTheme="majorHAnsi" w:hAnsiTheme="majorHAnsi"/>
          <w:u w:val="single"/>
        </w:rPr>
        <w:t>A</w:t>
      </w:r>
      <w:r w:rsidR="003F11A7">
        <w:rPr>
          <w:rFonts w:asciiTheme="majorHAnsi" w:hAnsiTheme="majorHAnsi"/>
          <w:u w:val="single"/>
        </w:rPr>
        <w:t>utres charges</w:t>
      </w:r>
      <w:r w:rsidR="00475FE4">
        <w:rPr>
          <w:rFonts w:asciiTheme="majorHAnsi" w:hAnsiTheme="majorHAnsi"/>
          <w:u w:val="single"/>
        </w:rPr>
        <w:t> :</w:t>
      </w:r>
      <w:r w:rsidR="003F11A7">
        <w:rPr>
          <w:rFonts w:asciiTheme="majorHAnsi" w:hAnsiTheme="majorHAnsi"/>
          <w:u w:val="single"/>
        </w:rPr>
        <w:t xml:space="preserve"> 42</w:t>
      </w:r>
      <w:r w:rsidRPr="00FB60CF">
        <w:rPr>
          <w:rFonts w:asciiTheme="majorHAnsi" w:hAnsiTheme="majorHAnsi"/>
          <w:u w:val="single"/>
        </w:rPr>
        <w:t xml:space="preserve"> % des dépenses en 2015.</w:t>
      </w:r>
    </w:p>
    <w:p w:rsidR="00BE4C01" w:rsidRPr="00FB60CF" w:rsidRDefault="00BE4C01" w:rsidP="003F11A7">
      <w:pPr>
        <w:pStyle w:val="Paragraphedeliste"/>
        <w:numPr>
          <w:ilvl w:val="0"/>
          <w:numId w:val="5"/>
        </w:numPr>
        <w:rPr>
          <w:rFonts w:asciiTheme="majorHAnsi" w:hAnsiTheme="majorHAnsi"/>
        </w:rPr>
      </w:pPr>
      <w:r w:rsidRPr="00FB60CF">
        <w:rPr>
          <w:rFonts w:asciiTheme="majorHAnsi" w:hAnsiTheme="majorHAnsi"/>
        </w:rPr>
        <w:t xml:space="preserve">Ces dépenses </w:t>
      </w:r>
      <w:r w:rsidR="00561947" w:rsidRPr="00FB60CF">
        <w:rPr>
          <w:rFonts w:asciiTheme="majorHAnsi" w:hAnsiTheme="majorHAnsi"/>
        </w:rPr>
        <w:t>s’élèvent</w:t>
      </w:r>
      <w:r w:rsidRPr="00FB60CF">
        <w:rPr>
          <w:rFonts w:asciiTheme="majorHAnsi" w:hAnsiTheme="majorHAnsi"/>
        </w:rPr>
        <w:t xml:space="preserve"> </w:t>
      </w:r>
      <w:r w:rsidR="00561947" w:rsidRPr="00FB60CF">
        <w:rPr>
          <w:rFonts w:asciiTheme="majorHAnsi" w:hAnsiTheme="majorHAnsi"/>
        </w:rPr>
        <w:t xml:space="preserve">43 </w:t>
      </w:r>
      <w:r w:rsidR="003F11A7">
        <w:rPr>
          <w:rFonts w:asciiTheme="majorHAnsi" w:hAnsiTheme="majorHAnsi"/>
        </w:rPr>
        <w:t>410</w:t>
      </w:r>
      <w:r w:rsidR="00561947" w:rsidRPr="00FB60CF">
        <w:rPr>
          <w:rFonts w:asciiTheme="majorHAnsi" w:hAnsiTheme="majorHAnsi"/>
        </w:rPr>
        <w:t xml:space="preserve"> </w:t>
      </w:r>
      <w:r w:rsidRPr="00FB60CF">
        <w:rPr>
          <w:rFonts w:asciiTheme="majorHAnsi" w:hAnsiTheme="majorHAnsi"/>
        </w:rPr>
        <w:t xml:space="preserve"> € soit une somme inférieure au budget prévisionnel (</w:t>
      </w:r>
      <w:r w:rsidR="003F11A7">
        <w:rPr>
          <w:rFonts w:asciiTheme="majorHAnsi" w:hAnsiTheme="majorHAnsi"/>
        </w:rPr>
        <w:t>63 735</w:t>
      </w:r>
      <w:r w:rsidR="00561947" w:rsidRPr="00FB60CF">
        <w:rPr>
          <w:rFonts w:asciiTheme="majorHAnsi" w:hAnsiTheme="majorHAnsi"/>
        </w:rPr>
        <w:t xml:space="preserve"> </w:t>
      </w:r>
      <w:r w:rsidR="003F11A7">
        <w:rPr>
          <w:rFonts w:asciiTheme="majorHAnsi" w:hAnsiTheme="majorHAnsi"/>
        </w:rPr>
        <w:t xml:space="preserve">€) et </w:t>
      </w:r>
      <w:r w:rsidR="00561947" w:rsidRPr="00FB60CF">
        <w:rPr>
          <w:rFonts w:asciiTheme="majorHAnsi" w:hAnsiTheme="majorHAnsi"/>
        </w:rPr>
        <w:t>supérieure</w:t>
      </w:r>
      <w:r w:rsidRPr="00FB60CF">
        <w:rPr>
          <w:rFonts w:asciiTheme="majorHAnsi" w:hAnsiTheme="majorHAnsi"/>
        </w:rPr>
        <w:t xml:space="preserve"> au montant dépensé en 201</w:t>
      </w:r>
      <w:r w:rsidR="00561947" w:rsidRPr="00FB60CF">
        <w:rPr>
          <w:rFonts w:asciiTheme="majorHAnsi" w:hAnsiTheme="majorHAnsi"/>
        </w:rPr>
        <w:t>5</w:t>
      </w:r>
      <w:r w:rsidRPr="00FB60CF">
        <w:rPr>
          <w:rFonts w:asciiTheme="majorHAnsi" w:hAnsiTheme="majorHAnsi"/>
        </w:rPr>
        <w:t xml:space="preserve"> (</w:t>
      </w:r>
      <w:r w:rsidR="00561947" w:rsidRPr="00FB60CF">
        <w:rPr>
          <w:rFonts w:asciiTheme="majorHAnsi" w:hAnsiTheme="majorHAnsi"/>
        </w:rPr>
        <w:t>37 675</w:t>
      </w:r>
      <w:r w:rsidRPr="00FB60CF">
        <w:rPr>
          <w:rFonts w:asciiTheme="majorHAnsi" w:hAnsiTheme="majorHAnsi"/>
        </w:rPr>
        <w:t xml:space="preserve"> €) soit une </w:t>
      </w:r>
      <w:r w:rsidR="003F11A7">
        <w:rPr>
          <w:rFonts w:asciiTheme="majorHAnsi" w:hAnsiTheme="majorHAnsi"/>
        </w:rPr>
        <w:t xml:space="preserve">hausse de </w:t>
      </w:r>
      <w:r w:rsidR="00561947" w:rsidRPr="00FB60CF">
        <w:rPr>
          <w:rFonts w:asciiTheme="majorHAnsi" w:hAnsiTheme="majorHAnsi"/>
        </w:rPr>
        <w:t>14.73</w:t>
      </w:r>
      <w:r w:rsidRPr="00FB60CF">
        <w:rPr>
          <w:rFonts w:asciiTheme="majorHAnsi" w:hAnsiTheme="majorHAnsi"/>
        </w:rPr>
        <w:t xml:space="preserve"> %.</w:t>
      </w:r>
    </w:p>
    <w:p w:rsidR="00BE4C01" w:rsidRPr="00FB60CF" w:rsidRDefault="00BE4C01" w:rsidP="00BE4C01">
      <w:pPr>
        <w:pStyle w:val="Paragraphedeliste"/>
        <w:ind w:left="360"/>
        <w:jc w:val="both"/>
        <w:rPr>
          <w:rFonts w:asciiTheme="majorHAnsi" w:hAnsiTheme="majorHAnsi"/>
        </w:rPr>
      </w:pPr>
    </w:p>
    <w:p w:rsidR="00BE4C01" w:rsidRPr="00FB60CF" w:rsidRDefault="00BE4C01" w:rsidP="000B5561">
      <w:pPr>
        <w:pStyle w:val="Paragraphedeliste"/>
        <w:numPr>
          <w:ilvl w:val="0"/>
          <w:numId w:val="5"/>
        </w:numPr>
        <w:jc w:val="both"/>
        <w:rPr>
          <w:rFonts w:asciiTheme="majorHAnsi" w:hAnsiTheme="majorHAnsi"/>
        </w:rPr>
      </w:pPr>
      <w:r w:rsidRPr="00FB60CF">
        <w:rPr>
          <w:rFonts w:asciiTheme="majorHAnsi" w:hAnsiTheme="majorHAnsi"/>
        </w:rPr>
        <w:t xml:space="preserve">Le principal poste de dépense est le poste des voyages et déplacements pour un montant de </w:t>
      </w:r>
      <w:r w:rsidR="00561947" w:rsidRPr="00FB60CF">
        <w:rPr>
          <w:rFonts w:asciiTheme="majorHAnsi" w:hAnsiTheme="majorHAnsi"/>
        </w:rPr>
        <w:t>28</w:t>
      </w:r>
      <w:r w:rsidR="00475FE4">
        <w:rPr>
          <w:rFonts w:asciiTheme="majorHAnsi" w:hAnsiTheme="majorHAnsi"/>
        </w:rPr>
        <w:t> </w:t>
      </w:r>
      <w:r w:rsidR="00561947" w:rsidRPr="00FB60CF">
        <w:rPr>
          <w:rFonts w:asciiTheme="majorHAnsi" w:hAnsiTheme="majorHAnsi"/>
        </w:rPr>
        <w:t>065</w:t>
      </w:r>
      <w:r w:rsidR="00475FE4">
        <w:rPr>
          <w:rFonts w:asciiTheme="majorHAnsi" w:hAnsiTheme="majorHAnsi"/>
        </w:rPr>
        <w:t xml:space="preserve"> </w:t>
      </w:r>
      <w:r w:rsidRPr="00FB60CF">
        <w:rPr>
          <w:rFonts w:asciiTheme="majorHAnsi" w:hAnsiTheme="majorHAnsi"/>
        </w:rPr>
        <w:t xml:space="preserve">€ soit </w:t>
      </w:r>
      <w:r w:rsidR="003F11A7">
        <w:rPr>
          <w:rFonts w:asciiTheme="majorHAnsi" w:hAnsiTheme="majorHAnsi"/>
        </w:rPr>
        <w:t>27</w:t>
      </w:r>
      <w:r w:rsidRPr="00FB60CF">
        <w:rPr>
          <w:rFonts w:asciiTheme="majorHAnsi" w:hAnsiTheme="majorHAnsi"/>
        </w:rPr>
        <w:t xml:space="preserve"> %</w:t>
      </w:r>
      <w:r w:rsidR="003F11A7">
        <w:rPr>
          <w:rFonts w:asciiTheme="majorHAnsi" w:hAnsiTheme="majorHAnsi"/>
        </w:rPr>
        <w:t xml:space="preserve"> du total des charges d’exploitation</w:t>
      </w:r>
      <w:r w:rsidRPr="00FB60CF">
        <w:rPr>
          <w:rFonts w:asciiTheme="majorHAnsi" w:hAnsiTheme="majorHAnsi"/>
        </w:rPr>
        <w:t xml:space="preserve">. Il </w:t>
      </w:r>
      <w:r w:rsidR="00057E72" w:rsidRPr="00FB60CF">
        <w:rPr>
          <w:rFonts w:asciiTheme="majorHAnsi" w:hAnsiTheme="majorHAnsi"/>
        </w:rPr>
        <w:t>est en augmentation par</w:t>
      </w:r>
      <w:r w:rsidRPr="00FB60CF">
        <w:rPr>
          <w:rFonts w:asciiTheme="majorHAnsi" w:hAnsiTheme="majorHAnsi"/>
        </w:rPr>
        <w:t xml:space="preserve"> rapport à 201</w:t>
      </w:r>
      <w:r w:rsidR="00057E72" w:rsidRPr="00FB60CF">
        <w:rPr>
          <w:rFonts w:asciiTheme="majorHAnsi" w:hAnsiTheme="majorHAnsi"/>
        </w:rPr>
        <w:t>5</w:t>
      </w:r>
      <w:r w:rsidRPr="00FB60CF">
        <w:rPr>
          <w:rFonts w:asciiTheme="majorHAnsi" w:hAnsiTheme="majorHAnsi"/>
        </w:rPr>
        <w:t xml:space="preserve"> (</w:t>
      </w:r>
      <w:r w:rsidR="00057E72" w:rsidRPr="00FB60CF">
        <w:rPr>
          <w:rFonts w:asciiTheme="majorHAnsi" w:hAnsiTheme="majorHAnsi"/>
        </w:rPr>
        <w:t>23 720</w:t>
      </w:r>
      <w:r w:rsidRPr="00FB60CF">
        <w:rPr>
          <w:rFonts w:asciiTheme="majorHAnsi" w:hAnsiTheme="majorHAnsi"/>
        </w:rPr>
        <w:t xml:space="preserve"> € soit une variation de </w:t>
      </w:r>
      <w:r w:rsidR="00057E72" w:rsidRPr="00FB60CF">
        <w:rPr>
          <w:rFonts w:asciiTheme="majorHAnsi" w:hAnsiTheme="majorHAnsi"/>
        </w:rPr>
        <w:t>18.32</w:t>
      </w:r>
      <w:r w:rsidRPr="00FB60CF">
        <w:rPr>
          <w:rFonts w:asciiTheme="majorHAnsi" w:hAnsiTheme="majorHAnsi"/>
        </w:rPr>
        <w:t xml:space="preserve"> %). Les voyages et déplacements (vols et nuitées) correspondent par exemple à la participation des représentants de l’AFAPDP aux réunions à Strasbourg (</w:t>
      </w:r>
      <w:r w:rsidR="00057E72" w:rsidRPr="00FB60CF">
        <w:rPr>
          <w:rFonts w:asciiTheme="majorHAnsi" w:hAnsiTheme="majorHAnsi"/>
        </w:rPr>
        <w:t>juin</w:t>
      </w:r>
      <w:r w:rsidRPr="00FB60CF">
        <w:rPr>
          <w:rFonts w:asciiTheme="majorHAnsi" w:hAnsiTheme="majorHAnsi"/>
        </w:rPr>
        <w:t xml:space="preserve"> </w:t>
      </w:r>
      <w:r w:rsidR="00057E72" w:rsidRPr="00FB60CF">
        <w:rPr>
          <w:rFonts w:asciiTheme="majorHAnsi" w:hAnsiTheme="majorHAnsi"/>
        </w:rPr>
        <w:t>2016</w:t>
      </w:r>
      <w:r w:rsidR="00475FE4">
        <w:rPr>
          <w:rFonts w:asciiTheme="majorHAnsi" w:hAnsiTheme="majorHAnsi"/>
        </w:rPr>
        <w:t xml:space="preserve">), </w:t>
      </w:r>
      <w:r w:rsidRPr="00FB60CF">
        <w:rPr>
          <w:rFonts w:asciiTheme="majorHAnsi" w:hAnsiTheme="majorHAnsi"/>
        </w:rPr>
        <w:t xml:space="preserve">la prise en charge des participants aux réunions de </w:t>
      </w:r>
      <w:r w:rsidR="000B5561" w:rsidRPr="000B5561">
        <w:rPr>
          <w:rFonts w:asciiTheme="majorHAnsi" w:hAnsiTheme="majorHAnsi"/>
        </w:rPr>
        <w:t>Marrakech (octobre 2016)</w:t>
      </w:r>
      <w:r w:rsidR="000B5561">
        <w:rPr>
          <w:rFonts w:asciiTheme="majorHAnsi" w:hAnsiTheme="majorHAnsi"/>
        </w:rPr>
        <w:t xml:space="preserve"> </w:t>
      </w:r>
      <w:r w:rsidRPr="00FB60CF">
        <w:rPr>
          <w:rFonts w:asciiTheme="majorHAnsi" w:hAnsiTheme="majorHAnsi"/>
        </w:rPr>
        <w:t xml:space="preserve">et </w:t>
      </w:r>
      <w:r w:rsidR="000B5561" w:rsidRPr="00FB60CF">
        <w:rPr>
          <w:rFonts w:asciiTheme="majorHAnsi" w:hAnsiTheme="majorHAnsi"/>
        </w:rPr>
        <w:t>Ouagadougou (septembre 2016)</w:t>
      </w:r>
      <w:r w:rsidRPr="00FB60CF">
        <w:rPr>
          <w:rFonts w:asciiTheme="majorHAnsi" w:hAnsiTheme="majorHAnsi"/>
        </w:rPr>
        <w:t xml:space="preserve">, ou aux formations organisées à </w:t>
      </w:r>
      <w:r w:rsidR="004A0B16" w:rsidRPr="00FB60CF">
        <w:rPr>
          <w:rFonts w:asciiTheme="majorHAnsi" w:hAnsiTheme="majorHAnsi"/>
        </w:rPr>
        <w:t>Paris</w:t>
      </w:r>
      <w:r w:rsidRPr="00FB60CF">
        <w:rPr>
          <w:rFonts w:asciiTheme="majorHAnsi" w:hAnsiTheme="majorHAnsi"/>
        </w:rPr>
        <w:t xml:space="preserve"> (</w:t>
      </w:r>
      <w:r w:rsidR="004A0B16" w:rsidRPr="00FB60CF">
        <w:rPr>
          <w:rFonts w:asciiTheme="majorHAnsi" w:hAnsiTheme="majorHAnsi"/>
        </w:rPr>
        <w:t>mai 2016</w:t>
      </w:r>
      <w:r w:rsidRPr="00FB60CF">
        <w:rPr>
          <w:rFonts w:asciiTheme="majorHAnsi" w:hAnsiTheme="majorHAnsi"/>
        </w:rPr>
        <w:t xml:space="preserve">) et </w:t>
      </w:r>
      <w:r w:rsidR="004A0B16" w:rsidRPr="00FB60CF">
        <w:rPr>
          <w:rFonts w:asciiTheme="majorHAnsi" w:hAnsiTheme="majorHAnsi"/>
        </w:rPr>
        <w:t>Dakar</w:t>
      </w:r>
      <w:r w:rsidRPr="00FB60CF">
        <w:rPr>
          <w:rFonts w:asciiTheme="majorHAnsi" w:hAnsiTheme="majorHAnsi"/>
        </w:rPr>
        <w:t xml:space="preserve"> (</w:t>
      </w:r>
      <w:r w:rsidR="004A0B16" w:rsidRPr="00FB60CF">
        <w:rPr>
          <w:rFonts w:asciiTheme="majorHAnsi" w:hAnsiTheme="majorHAnsi"/>
        </w:rPr>
        <w:t>octobre 2016</w:t>
      </w:r>
      <w:r w:rsidRPr="00FB60CF">
        <w:rPr>
          <w:rFonts w:asciiTheme="majorHAnsi" w:hAnsiTheme="majorHAnsi"/>
        </w:rPr>
        <w:t>).</w:t>
      </w:r>
    </w:p>
    <w:p w:rsidR="00BE4C01" w:rsidRPr="00FB60CF" w:rsidRDefault="00BE4C01" w:rsidP="00BE4C01">
      <w:pPr>
        <w:pStyle w:val="Paragraphedeliste"/>
        <w:rPr>
          <w:rFonts w:asciiTheme="majorHAnsi" w:hAnsiTheme="majorHAnsi"/>
        </w:rPr>
      </w:pPr>
    </w:p>
    <w:p w:rsidR="00BE4C01" w:rsidRPr="00FB60CF" w:rsidRDefault="00BE4C01" w:rsidP="00BE4C01">
      <w:pPr>
        <w:pStyle w:val="Paragraphedeliste"/>
        <w:numPr>
          <w:ilvl w:val="0"/>
          <w:numId w:val="5"/>
        </w:numPr>
        <w:jc w:val="both"/>
        <w:rPr>
          <w:rFonts w:asciiTheme="majorHAnsi" w:hAnsiTheme="majorHAnsi"/>
        </w:rPr>
      </w:pPr>
      <w:r w:rsidRPr="00FB60CF">
        <w:rPr>
          <w:rFonts w:asciiTheme="majorHAnsi" w:hAnsiTheme="majorHAnsi"/>
        </w:rPr>
        <w:t>Les autres postes de dépense</w:t>
      </w:r>
      <w:r w:rsidR="00736D9E">
        <w:rPr>
          <w:rFonts w:asciiTheme="majorHAnsi" w:hAnsiTheme="majorHAnsi"/>
        </w:rPr>
        <w:t>s</w:t>
      </w:r>
      <w:r w:rsidRPr="00FB60CF">
        <w:rPr>
          <w:rFonts w:asciiTheme="majorHAnsi" w:hAnsiTheme="majorHAnsi"/>
        </w:rPr>
        <w:t xml:space="preserve"> significatifs sont :</w:t>
      </w:r>
    </w:p>
    <w:p w:rsidR="004A0B16" w:rsidRPr="00FB60CF" w:rsidRDefault="004A0B16" w:rsidP="00475FE4">
      <w:pPr>
        <w:pStyle w:val="Paragraphedeliste"/>
        <w:numPr>
          <w:ilvl w:val="0"/>
          <w:numId w:val="11"/>
        </w:numPr>
        <w:jc w:val="both"/>
        <w:rPr>
          <w:rFonts w:asciiTheme="majorHAnsi" w:hAnsiTheme="majorHAnsi"/>
        </w:rPr>
      </w:pPr>
      <w:r w:rsidRPr="00FB60CF">
        <w:rPr>
          <w:rFonts w:asciiTheme="majorHAnsi" w:hAnsiTheme="majorHAnsi"/>
        </w:rPr>
        <w:t>Les frais de catalogues et impressions</w:t>
      </w:r>
      <w:r w:rsidR="003F11A7">
        <w:rPr>
          <w:rFonts w:asciiTheme="majorHAnsi" w:hAnsiTheme="majorHAnsi"/>
        </w:rPr>
        <w:t> :</w:t>
      </w:r>
      <w:r w:rsidRPr="00FB60CF">
        <w:rPr>
          <w:rFonts w:asciiTheme="majorHAnsi" w:hAnsiTheme="majorHAnsi"/>
        </w:rPr>
        <w:t xml:space="preserve"> 5 500 €</w:t>
      </w:r>
      <w:r w:rsidR="006B160A" w:rsidRPr="00FB60CF">
        <w:rPr>
          <w:rFonts w:asciiTheme="majorHAnsi" w:hAnsiTheme="majorHAnsi"/>
        </w:rPr>
        <w:t> ;</w:t>
      </w:r>
    </w:p>
    <w:p w:rsidR="004A0B16" w:rsidRPr="00FB60CF" w:rsidRDefault="004A0B16" w:rsidP="00475FE4">
      <w:pPr>
        <w:pStyle w:val="Paragraphedeliste"/>
        <w:numPr>
          <w:ilvl w:val="0"/>
          <w:numId w:val="11"/>
        </w:numPr>
        <w:jc w:val="both"/>
        <w:rPr>
          <w:rFonts w:asciiTheme="majorHAnsi" w:hAnsiTheme="majorHAnsi"/>
        </w:rPr>
      </w:pPr>
      <w:r w:rsidRPr="00FB60CF">
        <w:rPr>
          <w:rFonts w:asciiTheme="majorHAnsi" w:hAnsiTheme="majorHAnsi"/>
        </w:rPr>
        <w:t>Les honoraires de l’expert-comptable</w:t>
      </w:r>
      <w:r w:rsidR="003F11A7">
        <w:rPr>
          <w:rFonts w:asciiTheme="majorHAnsi" w:hAnsiTheme="majorHAnsi"/>
        </w:rPr>
        <w:t> :</w:t>
      </w:r>
      <w:r w:rsidRPr="00FB60CF">
        <w:rPr>
          <w:rFonts w:asciiTheme="majorHAnsi" w:hAnsiTheme="majorHAnsi"/>
        </w:rPr>
        <w:t xml:space="preserve"> 3 090 €</w:t>
      </w:r>
      <w:r w:rsidR="006B160A" w:rsidRPr="00FB60CF">
        <w:rPr>
          <w:rFonts w:asciiTheme="majorHAnsi" w:hAnsiTheme="majorHAnsi"/>
        </w:rPr>
        <w:t> ;</w:t>
      </w:r>
    </w:p>
    <w:p w:rsidR="004A0B16" w:rsidRPr="00FB60CF" w:rsidRDefault="004A0B16" w:rsidP="00475FE4">
      <w:pPr>
        <w:pStyle w:val="Paragraphedeliste"/>
        <w:numPr>
          <w:ilvl w:val="0"/>
          <w:numId w:val="11"/>
        </w:numPr>
        <w:jc w:val="both"/>
        <w:rPr>
          <w:rFonts w:asciiTheme="majorHAnsi" w:hAnsiTheme="majorHAnsi"/>
        </w:rPr>
      </w:pPr>
      <w:r w:rsidRPr="00FB60CF">
        <w:rPr>
          <w:rFonts w:asciiTheme="majorHAnsi" w:hAnsiTheme="majorHAnsi"/>
        </w:rPr>
        <w:t>Les frais de colloques et séminaire pour un montant de 2 450 € principalement pour les frais relatifs à la participation des membres de l’AFAPDP à la Conférence à Marrakech (traduction simultanée</w:t>
      </w:r>
      <w:r w:rsidR="006B160A" w:rsidRPr="00FB60CF">
        <w:rPr>
          <w:rFonts w:asciiTheme="majorHAnsi" w:hAnsiTheme="majorHAnsi"/>
        </w:rPr>
        <w:t>) ;</w:t>
      </w:r>
    </w:p>
    <w:p w:rsidR="004A0B16" w:rsidRPr="00FB60CF" w:rsidRDefault="004A0B16" w:rsidP="00475FE4">
      <w:pPr>
        <w:pStyle w:val="Paragraphedeliste"/>
        <w:numPr>
          <w:ilvl w:val="0"/>
          <w:numId w:val="11"/>
        </w:numPr>
        <w:jc w:val="both"/>
        <w:rPr>
          <w:rFonts w:asciiTheme="majorHAnsi" w:hAnsiTheme="majorHAnsi"/>
        </w:rPr>
      </w:pPr>
      <w:r w:rsidRPr="00FB60CF">
        <w:rPr>
          <w:rFonts w:asciiTheme="majorHAnsi" w:hAnsiTheme="majorHAnsi"/>
        </w:rPr>
        <w:t>L’achat de d’études et prestations</w:t>
      </w:r>
      <w:r w:rsidR="003F11A7">
        <w:rPr>
          <w:rFonts w:asciiTheme="majorHAnsi" w:hAnsiTheme="majorHAnsi"/>
        </w:rPr>
        <w:t> :</w:t>
      </w:r>
      <w:r w:rsidRPr="00FB60CF">
        <w:rPr>
          <w:rFonts w:asciiTheme="majorHAnsi" w:hAnsiTheme="majorHAnsi"/>
        </w:rPr>
        <w:t xml:space="preserve"> 2 443 €</w:t>
      </w:r>
      <w:r w:rsidR="006B160A" w:rsidRPr="00FB60CF">
        <w:rPr>
          <w:rFonts w:asciiTheme="majorHAnsi" w:hAnsiTheme="majorHAnsi"/>
        </w:rPr>
        <w:t> ;</w:t>
      </w:r>
    </w:p>
    <w:p w:rsidR="00BE4C01" w:rsidRPr="00475FE4" w:rsidRDefault="00BE4C01" w:rsidP="00475FE4">
      <w:pPr>
        <w:pStyle w:val="Paragraphedeliste"/>
        <w:numPr>
          <w:ilvl w:val="0"/>
          <w:numId w:val="11"/>
        </w:numPr>
        <w:jc w:val="both"/>
        <w:rPr>
          <w:rFonts w:asciiTheme="majorHAnsi" w:hAnsiTheme="majorHAnsi"/>
        </w:rPr>
      </w:pPr>
      <w:r w:rsidRPr="00FB60CF">
        <w:rPr>
          <w:rFonts w:asciiTheme="majorHAnsi" w:hAnsiTheme="majorHAnsi"/>
        </w:rPr>
        <w:t>Autres frais d’achats de petits équipements, assurances, frais postaux, frais bancaires</w:t>
      </w:r>
      <w:r w:rsidR="00475FE4">
        <w:rPr>
          <w:rFonts w:asciiTheme="majorHAnsi" w:hAnsiTheme="majorHAnsi"/>
        </w:rPr>
        <w:t>, impôts et taxes</w:t>
      </w:r>
      <w:r w:rsidRPr="00FB60CF">
        <w:rPr>
          <w:rFonts w:asciiTheme="majorHAnsi" w:hAnsiTheme="majorHAnsi"/>
        </w:rPr>
        <w:t>.</w:t>
      </w:r>
    </w:p>
    <w:tbl>
      <w:tblPr>
        <w:tblW w:w="5000" w:type="pct"/>
        <w:tblCellMar>
          <w:left w:w="70" w:type="dxa"/>
          <w:right w:w="70" w:type="dxa"/>
        </w:tblCellMar>
        <w:tblLook w:val="04A0" w:firstRow="1" w:lastRow="0" w:firstColumn="1" w:lastColumn="0" w:noHBand="0" w:noVBand="1"/>
      </w:tblPr>
      <w:tblGrid>
        <w:gridCol w:w="6869"/>
        <w:gridCol w:w="2193"/>
      </w:tblGrid>
      <w:tr w:rsidR="003F11A7" w:rsidRPr="003F11A7" w:rsidTr="005E1B04">
        <w:trPr>
          <w:trHeight w:val="300"/>
        </w:trPr>
        <w:tc>
          <w:tcPr>
            <w:tcW w:w="3790" w:type="pct"/>
            <w:tcBorders>
              <w:top w:val="single" w:sz="4" w:space="0" w:color="auto"/>
              <w:left w:val="single" w:sz="4" w:space="0" w:color="auto"/>
              <w:bottom w:val="single" w:sz="4" w:space="0" w:color="auto"/>
              <w:right w:val="single" w:sz="4" w:space="0" w:color="auto"/>
            </w:tcBorders>
            <w:shd w:val="clear" w:color="auto" w:fill="44546A" w:themeFill="text2"/>
            <w:noWrap/>
            <w:vAlign w:val="center"/>
            <w:hideMark/>
          </w:tcPr>
          <w:p w:rsidR="003F11A7" w:rsidRPr="003F11A7" w:rsidRDefault="003F11A7" w:rsidP="003F11A7">
            <w:pPr>
              <w:spacing w:after="0" w:line="240" w:lineRule="auto"/>
              <w:jc w:val="both"/>
              <w:rPr>
                <w:rFonts w:ascii="Calibri Light" w:eastAsia="Times New Roman" w:hAnsi="Calibri Light" w:cs="Times New Roman"/>
                <w:color w:val="D5DCE4" w:themeColor="text2" w:themeTint="33"/>
                <w:lang w:eastAsia="fr-FR"/>
              </w:rPr>
            </w:pPr>
            <w:r w:rsidRPr="003F11A7">
              <w:rPr>
                <w:rFonts w:ascii="Calibri Light" w:eastAsia="Times New Roman" w:hAnsi="Calibri Light" w:cs="Times New Roman"/>
                <w:color w:val="D5DCE4" w:themeColor="text2" w:themeTint="33"/>
                <w:lang w:eastAsia="fr-FR"/>
              </w:rPr>
              <w:t>PRODUITS D’EXPLOITATION</w:t>
            </w:r>
          </w:p>
        </w:tc>
        <w:tc>
          <w:tcPr>
            <w:tcW w:w="1210" w:type="pct"/>
            <w:tcBorders>
              <w:top w:val="single" w:sz="4" w:space="0" w:color="auto"/>
              <w:left w:val="nil"/>
              <w:bottom w:val="single" w:sz="4" w:space="0" w:color="auto"/>
              <w:right w:val="single" w:sz="4" w:space="0" w:color="auto"/>
            </w:tcBorders>
            <w:shd w:val="clear" w:color="auto" w:fill="44546A" w:themeFill="text2"/>
            <w:noWrap/>
            <w:vAlign w:val="center"/>
            <w:hideMark/>
          </w:tcPr>
          <w:p w:rsidR="003F11A7" w:rsidRPr="003F11A7" w:rsidRDefault="003F11A7" w:rsidP="003F11A7">
            <w:pPr>
              <w:spacing w:after="0" w:line="240" w:lineRule="auto"/>
              <w:jc w:val="right"/>
              <w:rPr>
                <w:rFonts w:ascii="Calibri Light" w:eastAsia="Times New Roman" w:hAnsi="Calibri Light" w:cs="Times New Roman"/>
                <w:color w:val="D5DCE4" w:themeColor="text2" w:themeTint="33"/>
                <w:lang w:eastAsia="fr-FR"/>
              </w:rPr>
            </w:pPr>
            <w:r w:rsidRPr="003F11A7">
              <w:rPr>
                <w:rFonts w:ascii="Calibri Light" w:eastAsia="Times New Roman" w:hAnsi="Calibri Light" w:cs="Times New Roman"/>
                <w:color w:val="D5DCE4" w:themeColor="text2" w:themeTint="33"/>
                <w:lang w:eastAsia="fr-FR"/>
              </w:rPr>
              <w:t> </w:t>
            </w:r>
          </w:p>
        </w:tc>
      </w:tr>
      <w:tr w:rsidR="003F11A7" w:rsidRPr="003F11A7" w:rsidTr="005E1B04">
        <w:trPr>
          <w:trHeight w:val="300"/>
        </w:trPr>
        <w:tc>
          <w:tcPr>
            <w:tcW w:w="3790" w:type="pct"/>
            <w:tcBorders>
              <w:top w:val="nil"/>
              <w:left w:val="single" w:sz="4" w:space="0" w:color="auto"/>
              <w:bottom w:val="single" w:sz="4" w:space="0" w:color="auto"/>
              <w:right w:val="single" w:sz="4" w:space="0" w:color="auto"/>
            </w:tcBorders>
            <w:shd w:val="clear" w:color="auto" w:fill="auto"/>
            <w:noWrap/>
            <w:vAlign w:val="center"/>
            <w:hideMark/>
          </w:tcPr>
          <w:p w:rsidR="003F11A7" w:rsidRPr="003F11A7" w:rsidRDefault="003F11A7" w:rsidP="003F11A7">
            <w:pPr>
              <w:spacing w:after="0" w:line="240" w:lineRule="auto"/>
              <w:jc w:val="both"/>
              <w:rPr>
                <w:rFonts w:ascii="Calibri Light" w:eastAsia="Times New Roman" w:hAnsi="Calibri Light" w:cs="Times New Roman"/>
                <w:color w:val="000000"/>
                <w:lang w:eastAsia="fr-FR"/>
              </w:rPr>
            </w:pPr>
            <w:r w:rsidRPr="003F11A7">
              <w:rPr>
                <w:rFonts w:ascii="Calibri Light" w:eastAsia="Times New Roman" w:hAnsi="Calibri Light" w:cs="Times New Roman"/>
                <w:color w:val="000000"/>
                <w:lang w:eastAsia="fr-FR"/>
              </w:rPr>
              <w:t>Subvention SPM</w:t>
            </w:r>
          </w:p>
        </w:tc>
        <w:tc>
          <w:tcPr>
            <w:tcW w:w="1210" w:type="pct"/>
            <w:tcBorders>
              <w:top w:val="nil"/>
              <w:left w:val="nil"/>
              <w:bottom w:val="single" w:sz="4" w:space="0" w:color="auto"/>
              <w:right w:val="single" w:sz="4" w:space="0" w:color="auto"/>
            </w:tcBorders>
            <w:shd w:val="clear" w:color="auto" w:fill="auto"/>
            <w:noWrap/>
            <w:vAlign w:val="center"/>
            <w:hideMark/>
          </w:tcPr>
          <w:p w:rsidR="003F11A7" w:rsidRPr="003F11A7" w:rsidRDefault="003F11A7" w:rsidP="003F11A7">
            <w:pPr>
              <w:spacing w:after="0" w:line="240" w:lineRule="auto"/>
              <w:jc w:val="right"/>
              <w:rPr>
                <w:rFonts w:ascii="Calibri Light" w:eastAsia="Times New Roman" w:hAnsi="Calibri Light" w:cs="Times New Roman"/>
                <w:color w:val="000000"/>
                <w:lang w:eastAsia="fr-FR"/>
              </w:rPr>
            </w:pPr>
            <w:r w:rsidRPr="003F11A7">
              <w:rPr>
                <w:rFonts w:ascii="Calibri Light" w:eastAsia="Times New Roman" w:hAnsi="Calibri Light" w:cs="Times New Roman"/>
                <w:color w:val="000000"/>
                <w:lang w:eastAsia="fr-FR"/>
              </w:rPr>
              <w:t>45 000 €</w:t>
            </w:r>
          </w:p>
        </w:tc>
      </w:tr>
      <w:tr w:rsidR="003F11A7" w:rsidRPr="003F11A7" w:rsidTr="005E1B04">
        <w:trPr>
          <w:trHeight w:val="300"/>
        </w:trPr>
        <w:tc>
          <w:tcPr>
            <w:tcW w:w="3790" w:type="pct"/>
            <w:tcBorders>
              <w:top w:val="nil"/>
              <w:left w:val="single" w:sz="4" w:space="0" w:color="auto"/>
              <w:bottom w:val="single" w:sz="4" w:space="0" w:color="auto"/>
              <w:right w:val="single" w:sz="4" w:space="0" w:color="auto"/>
            </w:tcBorders>
            <w:shd w:val="clear" w:color="auto" w:fill="auto"/>
            <w:noWrap/>
            <w:vAlign w:val="center"/>
            <w:hideMark/>
          </w:tcPr>
          <w:p w:rsidR="003F11A7" w:rsidRPr="003F11A7" w:rsidRDefault="003F11A7" w:rsidP="003F11A7">
            <w:pPr>
              <w:spacing w:after="0" w:line="240" w:lineRule="auto"/>
              <w:jc w:val="both"/>
              <w:rPr>
                <w:rFonts w:ascii="Calibri Light" w:eastAsia="Times New Roman" w:hAnsi="Calibri Light" w:cs="Times New Roman"/>
                <w:color w:val="000000"/>
                <w:lang w:eastAsia="fr-FR"/>
              </w:rPr>
            </w:pPr>
            <w:r w:rsidRPr="003F11A7">
              <w:rPr>
                <w:rFonts w:ascii="Calibri Light" w:eastAsia="Times New Roman" w:hAnsi="Calibri Light" w:cs="Times New Roman"/>
                <w:color w:val="000000"/>
                <w:lang w:eastAsia="fr-FR"/>
              </w:rPr>
              <w:t>Subvention OIF</w:t>
            </w:r>
          </w:p>
        </w:tc>
        <w:tc>
          <w:tcPr>
            <w:tcW w:w="1210" w:type="pct"/>
            <w:tcBorders>
              <w:top w:val="nil"/>
              <w:left w:val="nil"/>
              <w:bottom w:val="single" w:sz="4" w:space="0" w:color="auto"/>
              <w:right w:val="single" w:sz="4" w:space="0" w:color="auto"/>
            </w:tcBorders>
            <w:shd w:val="clear" w:color="auto" w:fill="auto"/>
            <w:noWrap/>
            <w:vAlign w:val="center"/>
            <w:hideMark/>
          </w:tcPr>
          <w:p w:rsidR="003F11A7" w:rsidRPr="003F11A7" w:rsidRDefault="003F11A7" w:rsidP="003F11A7">
            <w:pPr>
              <w:spacing w:after="0" w:line="240" w:lineRule="auto"/>
              <w:jc w:val="right"/>
              <w:rPr>
                <w:rFonts w:ascii="Calibri Light" w:eastAsia="Times New Roman" w:hAnsi="Calibri Light" w:cs="Times New Roman"/>
                <w:color w:val="000000"/>
                <w:lang w:eastAsia="fr-FR"/>
              </w:rPr>
            </w:pPr>
            <w:r w:rsidRPr="003F11A7">
              <w:rPr>
                <w:rFonts w:ascii="Calibri Light" w:eastAsia="Times New Roman" w:hAnsi="Calibri Light" w:cs="Times New Roman"/>
                <w:color w:val="000000"/>
                <w:lang w:eastAsia="fr-FR"/>
              </w:rPr>
              <w:t>45 573 €</w:t>
            </w:r>
          </w:p>
        </w:tc>
      </w:tr>
      <w:tr w:rsidR="003F11A7" w:rsidRPr="003F11A7" w:rsidTr="005E1B04">
        <w:trPr>
          <w:trHeight w:val="300"/>
        </w:trPr>
        <w:tc>
          <w:tcPr>
            <w:tcW w:w="3790" w:type="pct"/>
            <w:tcBorders>
              <w:top w:val="nil"/>
              <w:left w:val="single" w:sz="4" w:space="0" w:color="auto"/>
              <w:bottom w:val="single" w:sz="4" w:space="0" w:color="auto"/>
              <w:right w:val="single" w:sz="4" w:space="0" w:color="auto"/>
            </w:tcBorders>
            <w:shd w:val="clear" w:color="auto" w:fill="auto"/>
            <w:noWrap/>
            <w:vAlign w:val="center"/>
            <w:hideMark/>
          </w:tcPr>
          <w:p w:rsidR="003F11A7" w:rsidRPr="003F11A7" w:rsidRDefault="003F11A7" w:rsidP="003F11A7">
            <w:pPr>
              <w:spacing w:after="0" w:line="240" w:lineRule="auto"/>
              <w:jc w:val="both"/>
              <w:rPr>
                <w:rFonts w:ascii="Calibri Light" w:eastAsia="Times New Roman" w:hAnsi="Calibri Light" w:cs="Times New Roman"/>
                <w:color w:val="000000"/>
                <w:lang w:eastAsia="fr-FR"/>
              </w:rPr>
            </w:pPr>
            <w:r w:rsidRPr="003F11A7">
              <w:rPr>
                <w:rFonts w:ascii="Calibri Light" w:eastAsia="Times New Roman" w:hAnsi="Calibri Light" w:cs="Times New Roman"/>
                <w:color w:val="000000"/>
                <w:lang w:eastAsia="fr-FR"/>
              </w:rPr>
              <w:t>Cotisations</w:t>
            </w:r>
          </w:p>
        </w:tc>
        <w:tc>
          <w:tcPr>
            <w:tcW w:w="1210" w:type="pct"/>
            <w:tcBorders>
              <w:top w:val="nil"/>
              <w:left w:val="nil"/>
              <w:bottom w:val="single" w:sz="4" w:space="0" w:color="auto"/>
              <w:right w:val="single" w:sz="4" w:space="0" w:color="auto"/>
            </w:tcBorders>
            <w:shd w:val="clear" w:color="auto" w:fill="auto"/>
            <w:noWrap/>
            <w:vAlign w:val="center"/>
            <w:hideMark/>
          </w:tcPr>
          <w:p w:rsidR="003F11A7" w:rsidRPr="003F11A7" w:rsidRDefault="003F11A7" w:rsidP="003F11A7">
            <w:pPr>
              <w:spacing w:after="0" w:line="240" w:lineRule="auto"/>
              <w:jc w:val="right"/>
              <w:rPr>
                <w:rFonts w:ascii="Calibri Light" w:eastAsia="Times New Roman" w:hAnsi="Calibri Light" w:cs="Times New Roman"/>
                <w:color w:val="000000"/>
                <w:lang w:eastAsia="fr-FR"/>
              </w:rPr>
            </w:pPr>
            <w:r w:rsidRPr="003F11A7">
              <w:rPr>
                <w:rFonts w:ascii="Calibri Light" w:eastAsia="Times New Roman" w:hAnsi="Calibri Light" w:cs="Times New Roman"/>
                <w:color w:val="000000"/>
                <w:lang w:eastAsia="fr-FR"/>
              </w:rPr>
              <w:t>20 935</w:t>
            </w:r>
          </w:p>
        </w:tc>
      </w:tr>
      <w:tr w:rsidR="003F11A7" w:rsidRPr="003F11A7" w:rsidTr="005E1B04">
        <w:trPr>
          <w:trHeight w:val="300"/>
        </w:trPr>
        <w:tc>
          <w:tcPr>
            <w:tcW w:w="3790" w:type="pct"/>
            <w:tcBorders>
              <w:top w:val="nil"/>
              <w:left w:val="single" w:sz="4" w:space="0" w:color="auto"/>
              <w:bottom w:val="single" w:sz="4" w:space="0" w:color="auto"/>
              <w:right w:val="single" w:sz="4" w:space="0" w:color="auto"/>
            </w:tcBorders>
            <w:shd w:val="clear" w:color="auto" w:fill="auto"/>
            <w:noWrap/>
            <w:vAlign w:val="center"/>
            <w:hideMark/>
          </w:tcPr>
          <w:p w:rsidR="003F11A7" w:rsidRPr="003F11A7" w:rsidRDefault="003F11A7" w:rsidP="003F11A7">
            <w:pPr>
              <w:spacing w:after="0" w:line="240" w:lineRule="auto"/>
              <w:jc w:val="both"/>
              <w:rPr>
                <w:rFonts w:ascii="Calibri Light" w:eastAsia="Times New Roman" w:hAnsi="Calibri Light" w:cs="Times New Roman"/>
                <w:color w:val="000000"/>
                <w:lang w:eastAsia="fr-FR"/>
              </w:rPr>
            </w:pPr>
            <w:r w:rsidRPr="003F11A7">
              <w:rPr>
                <w:rFonts w:ascii="Calibri Light" w:eastAsia="Times New Roman" w:hAnsi="Calibri Light" w:cs="Times New Roman"/>
                <w:color w:val="000000"/>
                <w:lang w:eastAsia="fr-FR"/>
              </w:rPr>
              <w:t>Inscriptions</w:t>
            </w:r>
          </w:p>
        </w:tc>
        <w:tc>
          <w:tcPr>
            <w:tcW w:w="1210" w:type="pct"/>
            <w:tcBorders>
              <w:top w:val="nil"/>
              <w:left w:val="nil"/>
              <w:bottom w:val="single" w:sz="4" w:space="0" w:color="auto"/>
              <w:right w:val="single" w:sz="4" w:space="0" w:color="auto"/>
            </w:tcBorders>
            <w:shd w:val="clear" w:color="auto" w:fill="auto"/>
            <w:noWrap/>
            <w:vAlign w:val="center"/>
            <w:hideMark/>
          </w:tcPr>
          <w:p w:rsidR="003F11A7" w:rsidRPr="003F11A7" w:rsidRDefault="003F11A7" w:rsidP="003F11A7">
            <w:pPr>
              <w:spacing w:after="0" w:line="240" w:lineRule="auto"/>
              <w:jc w:val="right"/>
              <w:rPr>
                <w:rFonts w:ascii="Calibri Light" w:eastAsia="Times New Roman" w:hAnsi="Calibri Light" w:cs="Times New Roman"/>
                <w:color w:val="000000"/>
                <w:lang w:eastAsia="fr-FR"/>
              </w:rPr>
            </w:pPr>
            <w:r w:rsidRPr="003F11A7">
              <w:rPr>
                <w:rFonts w:ascii="Calibri Light" w:eastAsia="Times New Roman" w:hAnsi="Calibri Light" w:cs="Times New Roman"/>
                <w:color w:val="000000"/>
                <w:lang w:eastAsia="fr-FR"/>
              </w:rPr>
              <w:t>50 €</w:t>
            </w:r>
          </w:p>
        </w:tc>
      </w:tr>
      <w:tr w:rsidR="003F11A7" w:rsidRPr="003F11A7" w:rsidTr="005E1B04">
        <w:trPr>
          <w:trHeight w:val="300"/>
        </w:trPr>
        <w:tc>
          <w:tcPr>
            <w:tcW w:w="3790" w:type="pct"/>
            <w:tcBorders>
              <w:top w:val="nil"/>
              <w:left w:val="single" w:sz="4" w:space="0" w:color="auto"/>
              <w:bottom w:val="single" w:sz="4" w:space="0" w:color="auto"/>
              <w:right w:val="single" w:sz="4" w:space="0" w:color="auto"/>
            </w:tcBorders>
            <w:shd w:val="clear" w:color="auto" w:fill="auto"/>
            <w:noWrap/>
            <w:vAlign w:val="center"/>
            <w:hideMark/>
          </w:tcPr>
          <w:p w:rsidR="003F11A7" w:rsidRPr="003F11A7" w:rsidRDefault="003F11A7" w:rsidP="003F11A7">
            <w:pPr>
              <w:spacing w:after="0" w:line="240" w:lineRule="auto"/>
              <w:jc w:val="both"/>
              <w:rPr>
                <w:rFonts w:ascii="Calibri Light" w:eastAsia="Times New Roman" w:hAnsi="Calibri Light" w:cs="Times New Roman"/>
                <w:color w:val="000000"/>
                <w:lang w:eastAsia="fr-FR"/>
              </w:rPr>
            </w:pPr>
            <w:r w:rsidRPr="003F11A7">
              <w:rPr>
                <w:rFonts w:ascii="Calibri Light" w:eastAsia="Times New Roman" w:hAnsi="Calibri Light" w:cs="Times New Roman"/>
                <w:color w:val="000000"/>
                <w:lang w:eastAsia="fr-FR"/>
              </w:rPr>
              <w:t>Total</w:t>
            </w:r>
          </w:p>
        </w:tc>
        <w:tc>
          <w:tcPr>
            <w:tcW w:w="1210" w:type="pct"/>
            <w:tcBorders>
              <w:top w:val="nil"/>
              <w:left w:val="nil"/>
              <w:bottom w:val="single" w:sz="4" w:space="0" w:color="auto"/>
              <w:right w:val="single" w:sz="4" w:space="0" w:color="auto"/>
            </w:tcBorders>
            <w:shd w:val="clear" w:color="auto" w:fill="auto"/>
            <w:noWrap/>
            <w:vAlign w:val="center"/>
            <w:hideMark/>
          </w:tcPr>
          <w:p w:rsidR="003F11A7" w:rsidRPr="003F11A7" w:rsidRDefault="003F11A7" w:rsidP="003F11A7">
            <w:pPr>
              <w:spacing w:after="0" w:line="240" w:lineRule="auto"/>
              <w:jc w:val="right"/>
              <w:rPr>
                <w:rFonts w:ascii="Calibri Light" w:eastAsia="Times New Roman" w:hAnsi="Calibri Light" w:cs="Times New Roman"/>
                <w:color w:val="000000"/>
                <w:lang w:eastAsia="fr-FR"/>
              </w:rPr>
            </w:pPr>
            <w:r w:rsidRPr="003F11A7">
              <w:rPr>
                <w:rFonts w:ascii="Calibri Light" w:eastAsia="Times New Roman" w:hAnsi="Calibri Light" w:cs="Times New Roman"/>
                <w:color w:val="000000"/>
                <w:lang w:eastAsia="fr-FR"/>
              </w:rPr>
              <w:t>111 558 €</w:t>
            </w:r>
          </w:p>
        </w:tc>
      </w:tr>
      <w:tr w:rsidR="003F11A7" w:rsidRPr="003F11A7" w:rsidTr="005E1B04">
        <w:trPr>
          <w:trHeight w:val="300"/>
        </w:trPr>
        <w:tc>
          <w:tcPr>
            <w:tcW w:w="3790" w:type="pct"/>
            <w:tcBorders>
              <w:top w:val="nil"/>
              <w:left w:val="single" w:sz="4" w:space="0" w:color="auto"/>
              <w:bottom w:val="single" w:sz="4" w:space="0" w:color="auto"/>
              <w:right w:val="single" w:sz="4" w:space="0" w:color="auto"/>
            </w:tcBorders>
            <w:shd w:val="clear" w:color="auto" w:fill="44546A" w:themeFill="text2"/>
            <w:noWrap/>
            <w:vAlign w:val="center"/>
            <w:hideMark/>
          </w:tcPr>
          <w:p w:rsidR="003F11A7" w:rsidRPr="003F11A7" w:rsidRDefault="003F11A7" w:rsidP="003F11A7">
            <w:pPr>
              <w:spacing w:after="0" w:line="240" w:lineRule="auto"/>
              <w:jc w:val="both"/>
              <w:rPr>
                <w:rFonts w:ascii="Calibri Light" w:eastAsia="Times New Roman" w:hAnsi="Calibri Light" w:cs="Times New Roman"/>
                <w:color w:val="D5DCE4" w:themeColor="text2" w:themeTint="33"/>
                <w:lang w:eastAsia="fr-FR"/>
              </w:rPr>
            </w:pPr>
            <w:r w:rsidRPr="003F11A7">
              <w:rPr>
                <w:rFonts w:ascii="Calibri Light" w:eastAsia="Times New Roman" w:hAnsi="Calibri Light" w:cs="Times New Roman"/>
                <w:color w:val="D5DCE4" w:themeColor="text2" w:themeTint="33"/>
                <w:lang w:eastAsia="fr-FR"/>
              </w:rPr>
              <w:t>CHARGES D’EXPLOITATION</w:t>
            </w:r>
          </w:p>
        </w:tc>
        <w:tc>
          <w:tcPr>
            <w:tcW w:w="1210" w:type="pct"/>
            <w:tcBorders>
              <w:top w:val="nil"/>
              <w:left w:val="nil"/>
              <w:bottom w:val="single" w:sz="4" w:space="0" w:color="auto"/>
              <w:right w:val="single" w:sz="4" w:space="0" w:color="auto"/>
            </w:tcBorders>
            <w:shd w:val="clear" w:color="auto" w:fill="44546A" w:themeFill="text2"/>
            <w:noWrap/>
            <w:vAlign w:val="center"/>
            <w:hideMark/>
          </w:tcPr>
          <w:p w:rsidR="003F11A7" w:rsidRPr="003F11A7" w:rsidRDefault="003F11A7" w:rsidP="003F11A7">
            <w:pPr>
              <w:spacing w:after="0" w:line="240" w:lineRule="auto"/>
              <w:jc w:val="right"/>
              <w:rPr>
                <w:rFonts w:ascii="Calibri Light" w:eastAsia="Times New Roman" w:hAnsi="Calibri Light" w:cs="Times New Roman"/>
                <w:color w:val="D5DCE4" w:themeColor="text2" w:themeTint="33"/>
                <w:lang w:eastAsia="fr-FR"/>
              </w:rPr>
            </w:pPr>
            <w:r w:rsidRPr="003F11A7">
              <w:rPr>
                <w:rFonts w:ascii="Calibri Light" w:eastAsia="Times New Roman" w:hAnsi="Calibri Light" w:cs="Times New Roman"/>
                <w:color w:val="D5DCE4" w:themeColor="text2" w:themeTint="33"/>
                <w:lang w:eastAsia="fr-FR"/>
              </w:rPr>
              <w:t> </w:t>
            </w:r>
          </w:p>
        </w:tc>
      </w:tr>
      <w:tr w:rsidR="003F11A7" w:rsidRPr="003F11A7" w:rsidTr="005E1B04">
        <w:trPr>
          <w:trHeight w:val="300"/>
        </w:trPr>
        <w:tc>
          <w:tcPr>
            <w:tcW w:w="3790" w:type="pct"/>
            <w:tcBorders>
              <w:top w:val="nil"/>
              <w:left w:val="single" w:sz="4" w:space="0" w:color="auto"/>
              <w:bottom w:val="single" w:sz="4" w:space="0" w:color="auto"/>
              <w:right w:val="single" w:sz="4" w:space="0" w:color="auto"/>
            </w:tcBorders>
            <w:shd w:val="clear" w:color="auto" w:fill="auto"/>
            <w:noWrap/>
            <w:vAlign w:val="center"/>
            <w:hideMark/>
          </w:tcPr>
          <w:p w:rsidR="003F11A7" w:rsidRPr="003F11A7" w:rsidRDefault="003F11A7" w:rsidP="003F11A7">
            <w:pPr>
              <w:spacing w:after="0" w:line="240" w:lineRule="auto"/>
              <w:jc w:val="both"/>
              <w:rPr>
                <w:rFonts w:ascii="Calibri Light" w:eastAsia="Times New Roman" w:hAnsi="Calibri Light" w:cs="Times New Roman"/>
                <w:color w:val="000000"/>
                <w:lang w:eastAsia="fr-FR"/>
              </w:rPr>
            </w:pPr>
            <w:r w:rsidRPr="003F11A7">
              <w:rPr>
                <w:rFonts w:ascii="Calibri Light" w:eastAsia="Times New Roman" w:hAnsi="Calibri Light" w:cs="Times New Roman"/>
                <w:color w:val="000000"/>
                <w:lang w:eastAsia="fr-FR"/>
              </w:rPr>
              <w:t>Charges salariales, sociales et taxes</w:t>
            </w:r>
          </w:p>
        </w:tc>
        <w:tc>
          <w:tcPr>
            <w:tcW w:w="1210" w:type="pct"/>
            <w:tcBorders>
              <w:top w:val="nil"/>
              <w:left w:val="nil"/>
              <w:bottom w:val="single" w:sz="4" w:space="0" w:color="auto"/>
              <w:right w:val="single" w:sz="4" w:space="0" w:color="auto"/>
            </w:tcBorders>
            <w:shd w:val="clear" w:color="auto" w:fill="auto"/>
            <w:noWrap/>
            <w:vAlign w:val="center"/>
            <w:hideMark/>
          </w:tcPr>
          <w:p w:rsidR="003F11A7" w:rsidRPr="003F11A7" w:rsidRDefault="003F11A7" w:rsidP="003F11A7">
            <w:pPr>
              <w:spacing w:after="0" w:line="240" w:lineRule="auto"/>
              <w:jc w:val="right"/>
              <w:rPr>
                <w:rFonts w:ascii="Calibri Light" w:eastAsia="Times New Roman" w:hAnsi="Calibri Light" w:cs="Times New Roman"/>
                <w:color w:val="000000"/>
                <w:lang w:eastAsia="fr-FR"/>
              </w:rPr>
            </w:pPr>
            <w:r w:rsidRPr="003F11A7">
              <w:rPr>
                <w:rFonts w:ascii="Calibri Light" w:eastAsia="Times New Roman" w:hAnsi="Calibri Light" w:cs="Times New Roman"/>
                <w:color w:val="000000"/>
                <w:lang w:eastAsia="fr-FR"/>
              </w:rPr>
              <w:t>59 707 €</w:t>
            </w:r>
          </w:p>
        </w:tc>
      </w:tr>
      <w:tr w:rsidR="003F11A7" w:rsidRPr="003F11A7" w:rsidTr="005E1B04">
        <w:trPr>
          <w:trHeight w:val="300"/>
        </w:trPr>
        <w:tc>
          <w:tcPr>
            <w:tcW w:w="3790" w:type="pct"/>
            <w:tcBorders>
              <w:top w:val="nil"/>
              <w:left w:val="single" w:sz="4" w:space="0" w:color="auto"/>
              <w:bottom w:val="single" w:sz="4" w:space="0" w:color="auto"/>
              <w:right w:val="single" w:sz="4" w:space="0" w:color="auto"/>
            </w:tcBorders>
            <w:shd w:val="clear" w:color="auto" w:fill="auto"/>
            <w:noWrap/>
            <w:vAlign w:val="center"/>
            <w:hideMark/>
          </w:tcPr>
          <w:p w:rsidR="003F11A7" w:rsidRPr="003F11A7" w:rsidRDefault="003F11A7" w:rsidP="003F11A7">
            <w:pPr>
              <w:spacing w:after="0" w:line="240" w:lineRule="auto"/>
              <w:jc w:val="both"/>
              <w:rPr>
                <w:rFonts w:ascii="Calibri Light" w:eastAsia="Times New Roman" w:hAnsi="Calibri Light" w:cs="Times New Roman"/>
                <w:color w:val="000000"/>
                <w:lang w:eastAsia="fr-FR"/>
              </w:rPr>
            </w:pPr>
            <w:r w:rsidRPr="003F11A7">
              <w:rPr>
                <w:rFonts w:ascii="Calibri Light" w:eastAsia="Times New Roman" w:hAnsi="Calibri Light" w:cs="Times New Roman"/>
                <w:color w:val="000000"/>
                <w:lang w:eastAsia="fr-FR"/>
              </w:rPr>
              <w:t>Voyages et déplacements</w:t>
            </w:r>
          </w:p>
        </w:tc>
        <w:tc>
          <w:tcPr>
            <w:tcW w:w="1210" w:type="pct"/>
            <w:tcBorders>
              <w:top w:val="nil"/>
              <w:left w:val="nil"/>
              <w:bottom w:val="single" w:sz="4" w:space="0" w:color="auto"/>
              <w:right w:val="single" w:sz="4" w:space="0" w:color="auto"/>
            </w:tcBorders>
            <w:shd w:val="clear" w:color="auto" w:fill="auto"/>
            <w:noWrap/>
            <w:vAlign w:val="center"/>
            <w:hideMark/>
          </w:tcPr>
          <w:p w:rsidR="003F11A7" w:rsidRPr="003F11A7" w:rsidRDefault="003F11A7" w:rsidP="003F11A7">
            <w:pPr>
              <w:spacing w:after="0" w:line="240" w:lineRule="auto"/>
              <w:jc w:val="right"/>
              <w:rPr>
                <w:rFonts w:ascii="Calibri Light" w:eastAsia="Times New Roman" w:hAnsi="Calibri Light" w:cs="Times New Roman"/>
                <w:color w:val="000000"/>
                <w:lang w:eastAsia="fr-FR"/>
              </w:rPr>
            </w:pPr>
            <w:r w:rsidRPr="003F11A7">
              <w:rPr>
                <w:rFonts w:ascii="Calibri Light" w:eastAsia="Times New Roman" w:hAnsi="Calibri Light" w:cs="Times New Roman"/>
                <w:color w:val="000000"/>
                <w:lang w:eastAsia="fr-FR"/>
              </w:rPr>
              <w:t>28 065 €</w:t>
            </w:r>
          </w:p>
        </w:tc>
      </w:tr>
      <w:tr w:rsidR="003F11A7" w:rsidRPr="003F11A7" w:rsidTr="005E1B04">
        <w:trPr>
          <w:trHeight w:val="300"/>
        </w:trPr>
        <w:tc>
          <w:tcPr>
            <w:tcW w:w="3790" w:type="pct"/>
            <w:tcBorders>
              <w:top w:val="nil"/>
              <w:left w:val="single" w:sz="4" w:space="0" w:color="auto"/>
              <w:bottom w:val="single" w:sz="4" w:space="0" w:color="auto"/>
              <w:right w:val="single" w:sz="4" w:space="0" w:color="auto"/>
            </w:tcBorders>
            <w:shd w:val="clear" w:color="auto" w:fill="auto"/>
            <w:noWrap/>
            <w:vAlign w:val="center"/>
            <w:hideMark/>
          </w:tcPr>
          <w:p w:rsidR="003F11A7" w:rsidRPr="003F11A7" w:rsidRDefault="003F11A7" w:rsidP="003F11A7">
            <w:pPr>
              <w:spacing w:after="0" w:line="240" w:lineRule="auto"/>
              <w:jc w:val="both"/>
              <w:rPr>
                <w:rFonts w:ascii="Calibri Light" w:eastAsia="Times New Roman" w:hAnsi="Calibri Light" w:cs="Times New Roman"/>
                <w:color w:val="000000"/>
                <w:lang w:eastAsia="fr-FR"/>
              </w:rPr>
            </w:pPr>
            <w:r w:rsidRPr="003F11A7">
              <w:rPr>
                <w:rFonts w:ascii="Calibri Light" w:eastAsia="Times New Roman" w:hAnsi="Calibri Light" w:cs="Times New Roman"/>
                <w:color w:val="000000"/>
                <w:lang w:eastAsia="fr-FR"/>
              </w:rPr>
              <w:t>Frais de colloque et séminaire</w:t>
            </w:r>
          </w:p>
        </w:tc>
        <w:tc>
          <w:tcPr>
            <w:tcW w:w="1210" w:type="pct"/>
            <w:tcBorders>
              <w:top w:val="nil"/>
              <w:left w:val="nil"/>
              <w:bottom w:val="single" w:sz="4" w:space="0" w:color="auto"/>
              <w:right w:val="single" w:sz="4" w:space="0" w:color="auto"/>
            </w:tcBorders>
            <w:shd w:val="clear" w:color="auto" w:fill="auto"/>
            <w:noWrap/>
            <w:vAlign w:val="center"/>
            <w:hideMark/>
          </w:tcPr>
          <w:p w:rsidR="003F11A7" w:rsidRPr="003F11A7" w:rsidRDefault="003F11A7" w:rsidP="003F11A7">
            <w:pPr>
              <w:spacing w:after="0" w:line="240" w:lineRule="auto"/>
              <w:jc w:val="right"/>
              <w:rPr>
                <w:rFonts w:ascii="Calibri Light" w:eastAsia="Times New Roman" w:hAnsi="Calibri Light" w:cs="Times New Roman"/>
                <w:color w:val="000000"/>
                <w:lang w:eastAsia="fr-FR"/>
              </w:rPr>
            </w:pPr>
            <w:r w:rsidRPr="003F11A7">
              <w:rPr>
                <w:rFonts w:ascii="Calibri Light" w:eastAsia="Times New Roman" w:hAnsi="Calibri Light" w:cs="Times New Roman"/>
                <w:color w:val="000000"/>
                <w:lang w:eastAsia="fr-FR"/>
              </w:rPr>
              <w:t>2 450 €</w:t>
            </w:r>
          </w:p>
        </w:tc>
      </w:tr>
      <w:tr w:rsidR="003F11A7" w:rsidRPr="003F11A7" w:rsidTr="005E1B04">
        <w:trPr>
          <w:trHeight w:val="300"/>
        </w:trPr>
        <w:tc>
          <w:tcPr>
            <w:tcW w:w="3790" w:type="pct"/>
            <w:tcBorders>
              <w:top w:val="nil"/>
              <w:left w:val="single" w:sz="4" w:space="0" w:color="auto"/>
              <w:bottom w:val="single" w:sz="4" w:space="0" w:color="auto"/>
              <w:right w:val="single" w:sz="4" w:space="0" w:color="auto"/>
            </w:tcBorders>
            <w:shd w:val="clear" w:color="auto" w:fill="auto"/>
            <w:noWrap/>
            <w:vAlign w:val="center"/>
            <w:hideMark/>
          </w:tcPr>
          <w:p w:rsidR="003F11A7" w:rsidRPr="003F11A7" w:rsidRDefault="003F11A7" w:rsidP="003F11A7">
            <w:pPr>
              <w:spacing w:after="0" w:line="240" w:lineRule="auto"/>
              <w:jc w:val="both"/>
              <w:rPr>
                <w:rFonts w:ascii="Calibri Light" w:eastAsia="Times New Roman" w:hAnsi="Calibri Light" w:cs="Times New Roman"/>
                <w:color w:val="000000"/>
                <w:lang w:eastAsia="fr-FR"/>
              </w:rPr>
            </w:pPr>
            <w:r w:rsidRPr="003F11A7">
              <w:rPr>
                <w:rFonts w:ascii="Calibri Light" w:eastAsia="Times New Roman" w:hAnsi="Calibri Light" w:cs="Times New Roman"/>
                <w:color w:val="000000"/>
                <w:lang w:eastAsia="fr-FR"/>
              </w:rPr>
              <w:t>Honoraires expertise comptable</w:t>
            </w:r>
          </w:p>
        </w:tc>
        <w:tc>
          <w:tcPr>
            <w:tcW w:w="1210" w:type="pct"/>
            <w:tcBorders>
              <w:top w:val="nil"/>
              <w:left w:val="nil"/>
              <w:bottom w:val="single" w:sz="4" w:space="0" w:color="auto"/>
              <w:right w:val="single" w:sz="4" w:space="0" w:color="auto"/>
            </w:tcBorders>
            <w:shd w:val="clear" w:color="auto" w:fill="auto"/>
            <w:noWrap/>
            <w:vAlign w:val="center"/>
            <w:hideMark/>
          </w:tcPr>
          <w:p w:rsidR="003F11A7" w:rsidRPr="003F11A7" w:rsidRDefault="003F11A7" w:rsidP="003F11A7">
            <w:pPr>
              <w:spacing w:after="0" w:line="240" w:lineRule="auto"/>
              <w:jc w:val="right"/>
              <w:rPr>
                <w:rFonts w:ascii="Calibri Light" w:eastAsia="Times New Roman" w:hAnsi="Calibri Light" w:cs="Times New Roman"/>
                <w:color w:val="000000"/>
                <w:lang w:eastAsia="fr-FR"/>
              </w:rPr>
            </w:pPr>
            <w:r w:rsidRPr="003F11A7">
              <w:rPr>
                <w:rFonts w:ascii="Calibri Light" w:eastAsia="Times New Roman" w:hAnsi="Calibri Light" w:cs="Times New Roman"/>
                <w:color w:val="000000"/>
                <w:lang w:eastAsia="fr-FR"/>
              </w:rPr>
              <w:t>3 090 €</w:t>
            </w:r>
          </w:p>
        </w:tc>
      </w:tr>
      <w:tr w:rsidR="003F11A7" w:rsidRPr="003F11A7" w:rsidTr="005E1B04">
        <w:trPr>
          <w:trHeight w:val="300"/>
        </w:trPr>
        <w:tc>
          <w:tcPr>
            <w:tcW w:w="3790" w:type="pct"/>
            <w:tcBorders>
              <w:top w:val="nil"/>
              <w:left w:val="single" w:sz="4" w:space="0" w:color="auto"/>
              <w:bottom w:val="single" w:sz="4" w:space="0" w:color="auto"/>
              <w:right w:val="single" w:sz="4" w:space="0" w:color="auto"/>
            </w:tcBorders>
            <w:shd w:val="clear" w:color="auto" w:fill="auto"/>
            <w:noWrap/>
            <w:vAlign w:val="center"/>
            <w:hideMark/>
          </w:tcPr>
          <w:p w:rsidR="003F11A7" w:rsidRPr="003F11A7" w:rsidRDefault="003F11A7" w:rsidP="003F11A7">
            <w:pPr>
              <w:spacing w:after="0" w:line="240" w:lineRule="auto"/>
              <w:jc w:val="both"/>
              <w:rPr>
                <w:rFonts w:ascii="Calibri Light" w:eastAsia="Times New Roman" w:hAnsi="Calibri Light" w:cs="Times New Roman"/>
                <w:color w:val="000000"/>
                <w:lang w:eastAsia="fr-FR"/>
              </w:rPr>
            </w:pPr>
            <w:r w:rsidRPr="003F11A7">
              <w:rPr>
                <w:rFonts w:ascii="Calibri Light" w:eastAsia="Times New Roman" w:hAnsi="Calibri Light" w:cs="Times New Roman"/>
                <w:color w:val="000000"/>
                <w:lang w:eastAsia="fr-FR"/>
              </w:rPr>
              <w:t>Réceptions</w:t>
            </w:r>
          </w:p>
        </w:tc>
        <w:tc>
          <w:tcPr>
            <w:tcW w:w="1210" w:type="pct"/>
            <w:tcBorders>
              <w:top w:val="nil"/>
              <w:left w:val="nil"/>
              <w:bottom w:val="single" w:sz="4" w:space="0" w:color="auto"/>
              <w:right w:val="single" w:sz="4" w:space="0" w:color="auto"/>
            </w:tcBorders>
            <w:shd w:val="clear" w:color="auto" w:fill="auto"/>
            <w:noWrap/>
            <w:vAlign w:val="center"/>
            <w:hideMark/>
          </w:tcPr>
          <w:p w:rsidR="003F11A7" w:rsidRPr="003F11A7" w:rsidRDefault="003F11A7" w:rsidP="003F11A7">
            <w:pPr>
              <w:spacing w:after="0" w:line="240" w:lineRule="auto"/>
              <w:jc w:val="right"/>
              <w:rPr>
                <w:rFonts w:ascii="Calibri Light" w:eastAsia="Times New Roman" w:hAnsi="Calibri Light" w:cs="Times New Roman"/>
                <w:color w:val="000000"/>
                <w:lang w:eastAsia="fr-FR"/>
              </w:rPr>
            </w:pPr>
            <w:r w:rsidRPr="003F11A7">
              <w:rPr>
                <w:rFonts w:ascii="Calibri Light" w:eastAsia="Times New Roman" w:hAnsi="Calibri Light" w:cs="Times New Roman"/>
                <w:color w:val="000000"/>
                <w:lang w:eastAsia="fr-FR"/>
              </w:rPr>
              <w:t>411 €</w:t>
            </w:r>
          </w:p>
        </w:tc>
      </w:tr>
      <w:tr w:rsidR="003F11A7" w:rsidRPr="003F11A7" w:rsidTr="005E1B04">
        <w:trPr>
          <w:trHeight w:val="300"/>
        </w:trPr>
        <w:tc>
          <w:tcPr>
            <w:tcW w:w="3790" w:type="pct"/>
            <w:tcBorders>
              <w:top w:val="nil"/>
              <w:left w:val="single" w:sz="4" w:space="0" w:color="auto"/>
              <w:bottom w:val="single" w:sz="4" w:space="0" w:color="auto"/>
              <w:right w:val="single" w:sz="4" w:space="0" w:color="auto"/>
            </w:tcBorders>
            <w:shd w:val="clear" w:color="auto" w:fill="auto"/>
            <w:noWrap/>
            <w:vAlign w:val="center"/>
            <w:hideMark/>
          </w:tcPr>
          <w:p w:rsidR="003F11A7" w:rsidRPr="003F11A7" w:rsidRDefault="003F11A7" w:rsidP="003F11A7">
            <w:pPr>
              <w:spacing w:after="0" w:line="240" w:lineRule="auto"/>
              <w:jc w:val="both"/>
              <w:rPr>
                <w:rFonts w:ascii="Calibri Light" w:eastAsia="Times New Roman" w:hAnsi="Calibri Light" w:cs="Times New Roman"/>
                <w:color w:val="000000"/>
                <w:lang w:eastAsia="fr-FR"/>
              </w:rPr>
            </w:pPr>
            <w:r w:rsidRPr="003F11A7">
              <w:rPr>
                <w:rFonts w:ascii="Calibri Light" w:eastAsia="Times New Roman" w:hAnsi="Calibri Light" w:cs="Times New Roman"/>
                <w:color w:val="000000"/>
                <w:lang w:eastAsia="fr-FR"/>
              </w:rPr>
              <w:t>Catalogues et impressions</w:t>
            </w:r>
          </w:p>
        </w:tc>
        <w:tc>
          <w:tcPr>
            <w:tcW w:w="1210" w:type="pct"/>
            <w:tcBorders>
              <w:top w:val="nil"/>
              <w:left w:val="nil"/>
              <w:bottom w:val="single" w:sz="4" w:space="0" w:color="auto"/>
              <w:right w:val="single" w:sz="4" w:space="0" w:color="auto"/>
            </w:tcBorders>
            <w:shd w:val="clear" w:color="auto" w:fill="auto"/>
            <w:noWrap/>
            <w:vAlign w:val="center"/>
            <w:hideMark/>
          </w:tcPr>
          <w:p w:rsidR="003F11A7" w:rsidRPr="003F11A7" w:rsidRDefault="003F11A7" w:rsidP="003F11A7">
            <w:pPr>
              <w:spacing w:after="0" w:line="240" w:lineRule="auto"/>
              <w:jc w:val="right"/>
              <w:rPr>
                <w:rFonts w:ascii="Calibri Light" w:eastAsia="Times New Roman" w:hAnsi="Calibri Light" w:cs="Times New Roman"/>
                <w:color w:val="000000"/>
                <w:lang w:eastAsia="fr-FR"/>
              </w:rPr>
            </w:pPr>
            <w:r w:rsidRPr="003F11A7">
              <w:rPr>
                <w:rFonts w:ascii="Calibri Light" w:eastAsia="Times New Roman" w:hAnsi="Calibri Light" w:cs="Times New Roman"/>
                <w:color w:val="000000"/>
                <w:lang w:eastAsia="fr-FR"/>
              </w:rPr>
              <w:t>5 500 €</w:t>
            </w:r>
          </w:p>
        </w:tc>
      </w:tr>
      <w:tr w:rsidR="003F11A7" w:rsidRPr="003F11A7" w:rsidTr="005E1B04">
        <w:trPr>
          <w:trHeight w:val="300"/>
        </w:trPr>
        <w:tc>
          <w:tcPr>
            <w:tcW w:w="3790" w:type="pct"/>
            <w:tcBorders>
              <w:top w:val="nil"/>
              <w:left w:val="single" w:sz="4" w:space="0" w:color="auto"/>
              <w:bottom w:val="single" w:sz="4" w:space="0" w:color="auto"/>
              <w:right w:val="single" w:sz="4" w:space="0" w:color="auto"/>
            </w:tcBorders>
            <w:shd w:val="clear" w:color="auto" w:fill="auto"/>
            <w:noWrap/>
            <w:vAlign w:val="center"/>
            <w:hideMark/>
          </w:tcPr>
          <w:p w:rsidR="003F11A7" w:rsidRPr="003F11A7" w:rsidRDefault="003F11A7" w:rsidP="003F11A7">
            <w:pPr>
              <w:spacing w:after="0" w:line="240" w:lineRule="auto"/>
              <w:jc w:val="both"/>
              <w:rPr>
                <w:rFonts w:ascii="Calibri Light" w:eastAsia="Times New Roman" w:hAnsi="Calibri Light" w:cs="Times New Roman"/>
                <w:color w:val="000000"/>
                <w:lang w:eastAsia="fr-FR"/>
              </w:rPr>
            </w:pPr>
            <w:r w:rsidRPr="003F11A7">
              <w:rPr>
                <w:rFonts w:ascii="Calibri Light" w:eastAsia="Times New Roman" w:hAnsi="Calibri Light" w:cs="Times New Roman"/>
                <w:color w:val="000000"/>
                <w:lang w:eastAsia="fr-FR"/>
              </w:rPr>
              <w:t>Autres frais</w:t>
            </w:r>
          </w:p>
        </w:tc>
        <w:tc>
          <w:tcPr>
            <w:tcW w:w="1210" w:type="pct"/>
            <w:tcBorders>
              <w:top w:val="nil"/>
              <w:left w:val="nil"/>
              <w:bottom w:val="single" w:sz="4" w:space="0" w:color="auto"/>
              <w:right w:val="single" w:sz="4" w:space="0" w:color="auto"/>
            </w:tcBorders>
            <w:shd w:val="clear" w:color="auto" w:fill="auto"/>
            <w:noWrap/>
            <w:vAlign w:val="center"/>
            <w:hideMark/>
          </w:tcPr>
          <w:p w:rsidR="003F11A7" w:rsidRPr="003F11A7" w:rsidRDefault="003F11A7" w:rsidP="003F11A7">
            <w:pPr>
              <w:spacing w:after="0" w:line="240" w:lineRule="auto"/>
              <w:jc w:val="right"/>
              <w:rPr>
                <w:rFonts w:ascii="Calibri Light" w:eastAsia="Times New Roman" w:hAnsi="Calibri Light" w:cs="Times New Roman"/>
                <w:color w:val="000000"/>
                <w:lang w:eastAsia="fr-FR"/>
              </w:rPr>
            </w:pPr>
            <w:r w:rsidRPr="003F11A7">
              <w:rPr>
                <w:rFonts w:ascii="Calibri Light" w:eastAsia="Times New Roman" w:hAnsi="Calibri Light" w:cs="Times New Roman"/>
                <w:color w:val="000000"/>
                <w:lang w:eastAsia="fr-FR"/>
              </w:rPr>
              <w:t>3 708 €</w:t>
            </w:r>
          </w:p>
        </w:tc>
      </w:tr>
      <w:tr w:rsidR="003F11A7" w:rsidRPr="003F11A7" w:rsidTr="005E1B04">
        <w:trPr>
          <w:trHeight w:val="300"/>
        </w:trPr>
        <w:tc>
          <w:tcPr>
            <w:tcW w:w="3790" w:type="pct"/>
            <w:tcBorders>
              <w:top w:val="nil"/>
              <w:left w:val="single" w:sz="4" w:space="0" w:color="auto"/>
              <w:bottom w:val="single" w:sz="4" w:space="0" w:color="auto"/>
              <w:right w:val="single" w:sz="4" w:space="0" w:color="auto"/>
            </w:tcBorders>
            <w:shd w:val="clear" w:color="auto" w:fill="auto"/>
            <w:noWrap/>
            <w:vAlign w:val="center"/>
            <w:hideMark/>
          </w:tcPr>
          <w:p w:rsidR="003F11A7" w:rsidRPr="003F11A7" w:rsidRDefault="003F11A7" w:rsidP="003F11A7">
            <w:pPr>
              <w:spacing w:after="0" w:line="240" w:lineRule="auto"/>
              <w:jc w:val="both"/>
              <w:rPr>
                <w:rFonts w:ascii="Calibri Light" w:eastAsia="Times New Roman" w:hAnsi="Calibri Light" w:cs="Times New Roman"/>
                <w:color w:val="000000"/>
                <w:lang w:eastAsia="fr-FR"/>
              </w:rPr>
            </w:pPr>
            <w:r w:rsidRPr="003F11A7">
              <w:rPr>
                <w:rFonts w:ascii="Calibri Light" w:eastAsia="Times New Roman" w:hAnsi="Calibri Light" w:cs="Times New Roman"/>
                <w:color w:val="000000"/>
                <w:lang w:eastAsia="fr-FR"/>
              </w:rPr>
              <w:t>Impôts et taxes</w:t>
            </w:r>
          </w:p>
        </w:tc>
        <w:tc>
          <w:tcPr>
            <w:tcW w:w="1210" w:type="pct"/>
            <w:tcBorders>
              <w:top w:val="nil"/>
              <w:left w:val="nil"/>
              <w:bottom w:val="single" w:sz="4" w:space="0" w:color="auto"/>
              <w:right w:val="single" w:sz="4" w:space="0" w:color="auto"/>
            </w:tcBorders>
            <w:shd w:val="clear" w:color="auto" w:fill="auto"/>
            <w:noWrap/>
            <w:vAlign w:val="center"/>
            <w:hideMark/>
          </w:tcPr>
          <w:p w:rsidR="003F11A7" w:rsidRPr="003F11A7" w:rsidRDefault="003F11A7" w:rsidP="003F11A7">
            <w:pPr>
              <w:spacing w:after="0" w:line="240" w:lineRule="auto"/>
              <w:jc w:val="right"/>
              <w:rPr>
                <w:rFonts w:ascii="Calibri Light" w:eastAsia="Times New Roman" w:hAnsi="Calibri Light" w:cs="Times New Roman"/>
                <w:color w:val="000000"/>
                <w:lang w:eastAsia="fr-FR"/>
              </w:rPr>
            </w:pPr>
            <w:r w:rsidRPr="003F11A7">
              <w:rPr>
                <w:rFonts w:ascii="Calibri Light" w:eastAsia="Times New Roman" w:hAnsi="Calibri Light" w:cs="Times New Roman"/>
                <w:color w:val="000000"/>
                <w:lang w:eastAsia="fr-FR"/>
              </w:rPr>
              <w:t>185 €</w:t>
            </w:r>
          </w:p>
        </w:tc>
      </w:tr>
      <w:tr w:rsidR="003F11A7" w:rsidRPr="003F11A7" w:rsidTr="005E1B04">
        <w:trPr>
          <w:trHeight w:val="315"/>
        </w:trPr>
        <w:tc>
          <w:tcPr>
            <w:tcW w:w="3790" w:type="pct"/>
            <w:tcBorders>
              <w:top w:val="nil"/>
              <w:left w:val="single" w:sz="8" w:space="0" w:color="auto"/>
              <w:bottom w:val="single" w:sz="8" w:space="0" w:color="auto"/>
              <w:right w:val="single" w:sz="8" w:space="0" w:color="auto"/>
            </w:tcBorders>
            <w:shd w:val="clear" w:color="000000" w:fill="44546A"/>
            <w:vAlign w:val="center"/>
            <w:hideMark/>
          </w:tcPr>
          <w:p w:rsidR="003F11A7" w:rsidRPr="003F11A7" w:rsidRDefault="003F11A7" w:rsidP="003F11A7">
            <w:pPr>
              <w:spacing w:after="0" w:line="240" w:lineRule="auto"/>
              <w:jc w:val="both"/>
              <w:rPr>
                <w:rFonts w:ascii="Calibri Light" w:eastAsia="Times New Roman" w:hAnsi="Calibri Light" w:cs="Times New Roman"/>
                <w:b/>
                <w:bCs/>
                <w:color w:val="D6DCE5"/>
                <w:lang w:eastAsia="fr-FR"/>
              </w:rPr>
            </w:pPr>
            <w:r w:rsidRPr="003F11A7">
              <w:rPr>
                <w:rFonts w:ascii="Calibri Light" w:eastAsia="Times New Roman" w:hAnsi="Calibri Light" w:cs="Times New Roman"/>
                <w:b/>
                <w:bCs/>
                <w:color w:val="D6DCE5"/>
                <w:lang w:eastAsia="fr-FR"/>
              </w:rPr>
              <w:t>Total</w:t>
            </w:r>
          </w:p>
        </w:tc>
        <w:tc>
          <w:tcPr>
            <w:tcW w:w="1210" w:type="pct"/>
            <w:tcBorders>
              <w:top w:val="nil"/>
              <w:left w:val="nil"/>
              <w:bottom w:val="single" w:sz="8" w:space="0" w:color="auto"/>
              <w:right w:val="single" w:sz="8" w:space="0" w:color="auto"/>
            </w:tcBorders>
            <w:shd w:val="clear" w:color="000000" w:fill="44546A"/>
            <w:vAlign w:val="center"/>
            <w:hideMark/>
          </w:tcPr>
          <w:p w:rsidR="003F11A7" w:rsidRPr="003F11A7" w:rsidRDefault="003F11A7" w:rsidP="003F11A7">
            <w:pPr>
              <w:spacing w:after="0" w:line="240" w:lineRule="auto"/>
              <w:jc w:val="right"/>
              <w:rPr>
                <w:rFonts w:ascii="Calibri Light" w:eastAsia="Times New Roman" w:hAnsi="Calibri Light" w:cs="Times New Roman"/>
                <w:b/>
                <w:bCs/>
                <w:color w:val="D6DCE5"/>
                <w:lang w:eastAsia="fr-FR"/>
              </w:rPr>
            </w:pPr>
            <w:r w:rsidRPr="003F11A7">
              <w:rPr>
                <w:rFonts w:ascii="Calibri Light" w:eastAsia="Times New Roman" w:hAnsi="Calibri Light" w:cs="Times New Roman"/>
                <w:b/>
                <w:bCs/>
                <w:color w:val="D6DCE5"/>
                <w:lang w:eastAsia="fr-FR"/>
              </w:rPr>
              <w:t>103 116 €</w:t>
            </w:r>
          </w:p>
        </w:tc>
      </w:tr>
    </w:tbl>
    <w:p w:rsidR="00BE4C01" w:rsidRPr="00475FE4" w:rsidRDefault="000522F1" w:rsidP="005E1B04">
      <w:pPr>
        <w:jc w:val="right"/>
        <w:rPr>
          <w:rFonts w:asciiTheme="majorHAnsi" w:hAnsiTheme="majorHAnsi"/>
          <w:sz w:val="16"/>
          <w:szCs w:val="16"/>
        </w:rPr>
      </w:pPr>
      <w:r>
        <w:rPr>
          <w:rFonts w:asciiTheme="majorHAnsi" w:hAnsiTheme="majorHAnsi"/>
          <w:sz w:val="16"/>
          <w:szCs w:val="16"/>
        </w:rPr>
        <w:t>8</w:t>
      </w:r>
      <w:r w:rsidR="005E1B04">
        <w:rPr>
          <w:rFonts w:asciiTheme="majorHAnsi" w:hAnsiTheme="majorHAnsi"/>
          <w:sz w:val="16"/>
          <w:szCs w:val="16"/>
        </w:rPr>
        <w:t xml:space="preserve"> : </w:t>
      </w:r>
      <w:r w:rsidR="00475FE4">
        <w:rPr>
          <w:rFonts w:asciiTheme="majorHAnsi" w:hAnsiTheme="majorHAnsi"/>
          <w:sz w:val="16"/>
          <w:szCs w:val="16"/>
        </w:rPr>
        <w:t>Tableau récapitulatif</w:t>
      </w:r>
    </w:p>
    <w:p w:rsidR="00BE4C01" w:rsidRPr="00FB60CF" w:rsidRDefault="00BE4C01" w:rsidP="00BE4C01">
      <w:pPr>
        <w:pStyle w:val="Paragraphedeliste"/>
        <w:numPr>
          <w:ilvl w:val="0"/>
          <w:numId w:val="5"/>
        </w:numPr>
        <w:jc w:val="both"/>
        <w:rPr>
          <w:rFonts w:asciiTheme="majorHAnsi" w:hAnsiTheme="majorHAnsi"/>
        </w:rPr>
      </w:pPr>
      <w:r w:rsidRPr="00FB60CF">
        <w:rPr>
          <w:rFonts w:asciiTheme="majorHAnsi" w:hAnsiTheme="majorHAnsi"/>
        </w:rPr>
        <w:t>Les subventions et cotisations visent à couvrir différents types de charges et le principe à suivre est le financement partagé des activités. Seule la subvention OIF ne peut pas être utilisée pour couvrir les charges sociales et salariales mais uniquement pour couvrir les frais liés aux activités de l’association pour la réalisation de son plan d’action.</w:t>
      </w:r>
    </w:p>
    <w:p w:rsidR="00BE4C01" w:rsidRPr="00FB60CF" w:rsidRDefault="00BE4C01" w:rsidP="00BE4C01">
      <w:pPr>
        <w:pStyle w:val="Paragraphedeliste"/>
        <w:ind w:left="360"/>
        <w:jc w:val="both"/>
        <w:rPr>
          <w:rFonts w:asciiTheme="majorHAnsi" w:hAnsiTheme="majorHAnsi"/>
        </w:rPr>
      </w:pPr>
    </w:p>
    <w:p w:rsidR="00BE4C01" w:rsidRPr="000522F1" w:rsidRDefault="00BE4C01" w:rsidP="00393B2E">
      <w:pPr>
        <w:pStyle w:val="Paragraphedeliste"/>
        <w:numPr>
          <w:ilvl w:val="0"/>
          <w:numId w:val="12"/>
        </w:numPr>
        <w:jc w:val="both"/>
        <w:outlineLvl w:val="2"/>
        <w:rPr>
          <w:rFonts w:asciiTheme="majorHAnsi" w:hAnsiTheme="majorHAnsi"/>
          <w:b/>
          <w:color w:val="44546A" w:themeColor="text2"/>
        </w:rPr>
      </w:pPr>
      <w:r w:rsidRPr="000522F1">
        <w:rPr>
          <w:rFonts w:asciiTheme="majorHAnsi" w:hAnsiTheme="majorHAnsi"/>
          <w:b/>
          <w:color w:val="44546A" w:themeColor="text2"/>
        </w:rPr>
        <w:t>Situation de la trésorerie au 31</w:t>
      </w:r>
      <w:r w:rsidR="00021C15">
        <w:rPr>
          <w:rFonts w:asciiTheme="majorHAnsi" w:hAnsiTheme="majorHAnsi"/>
          <w:b/>
          <w:color w:val="44546A" w:themeColor="text2"/>
        </w:rPr>
        <w:t xml:space="preserve"> décembre </w:t>
      </w:r>
      <w:r w:rsidRPr="000522F1">
        <w:rPr>
          <w:rFonts w:asciiTheme="majorHAnsi" w:hAnsiTheme="majorHAnsi"/>
          <w:b/>
          <w:color w:val="44546A" w:themeColor="text2"/>
        </w:rPr>
        <w:t>201</w:t>
      </w:r>
      <w:r w:rsidR="006B160A" w:rsidRPr="000522F1">
        <w:rPr>
          <w:rFonts w:asciiTheme="majorHAnsi" w:hAnsiTheme="majorHAnsi"/>
          <w:b/>
          <w:color w:val="44546A" w:themeColor="text2"/>
        </w:rPr>
        <w:t>6</w:t>
      </w:r>
    </w:p>
    <w:p w:rsidR="00BE4C01" w:rsidRPr="00FB60CF" w:rsidRDefault="00BE4C01" w:rsidP="00BE4C01">
      <w:pPr>
        <w:pStyle w:val="Paragraphedeliste"/>
        <w:ind w:left="1440"/>
        <w:jc w:val="both"/>
        <w:rPr>
          <w:rFonts w:asciiTheme="majorHAnsi" w:hAnsiTheme="majorHAnsi"/>
        </w:rPr>
      </w:pPr>
    </w:p>
    <w:p w:rsidR="00BE4C01" w:rsidRPr="00FB60CF" w:rsidRDefault="00BE4C01" w:rsidP="00BE4C01">
      <w:pPr>
        <w:pStyle w:val="Paragraphedeliste"/>
        <w:numPr>
          <w:ilvl w:val="0"/>
          <w:numId w:val="5"/>
        </w:numPr>
        <w:jc w:val="both"/>
        <w:rPr>
          <w:rFonts w:asciiTheme="majorHAnsi" w:hAnsiTheme="majorHAnsi"/>
        </w:rPr>
      </w:pPr>
      <w:r w:rsidRPr="00FB60CF">
        <w:rPr>
          <w:rFonts w:asciiTheme="majorHAnsi" w:hAnsiTheme="majorHAnsi"/>
        </w:rPr>
        <w:t xml:space="preserve">La trésorerie de l’AFAPDP correspond aux sommes immédiatement disponibles pour effectuer des </w:t>
      </w:r>
      <w:r w:rsidR="00A53B09">
        <w:rPr>
          <w:rFonts w:asciiTheme="majorHAnsi" w:hAnsiTheme="majorHAnsi"/>
        </w:rPr>
        <w:t>dépenses</w:t>
      </w:r>
      <w:r w:rsidRPr="00FB60CF">
        <w:rPr>
          <w:rFonts w:asciiTheme="majorHAnsi" w:hAnsiTheme="majorHAnsi"/>
        </w:rPr>
        <w:t>. Gérer la trésorerie consiste à contrôler les entrées et les sorties de fonds et à optimiser la gestion des fonds. Le secrétariat général est chargé de gérer la trésorerie. Au 31</w:t>
      </w:r>
      <w:r w:rsidR="00021C15">
        <w:rPr>
          <w:rFonts w:asciiTheme="majorHAnsi" w:hAnsiTheme="majorHAnsi"/>
        </w:rPr>
        <w:t xml:space="preserve"> décembre </w:t>
      </w:r>
      <w:r w:rsidRPr="00FB60CF">
        <w:rPr>
          <w:rFonts w:asciiTheme="majorHAnsi" w:hAnsiTheme="majorHAnsi"/>
        </w:rPr>
        <w:t>201</w:t>
      </w:r>
      <w:r w:rsidR="006B160A" w:rsidRPr="00FB60CF">
        <w:rPr>
          <w:rFonts w:asciiTheme="majorHAnsi" w:hAnsiTheme="majorHAnsi"/>
        </w:rPr>
        <w:t>6</w:t>
      </w:r>
      <w:r w:rsidRPr="00FB60CF">
        <w:rPr>
          <w:rFonts w:asciiTheme="majorHAnsi" w:hAnsiTheme="majorHAnsi"/>
        </w:rPr>
        <w:t xml:space="preserve">, l’AFAPDP dispose de </w:t>
      </w:r>
      <w:r w:rsidR="006B160A" w:rsidRPr="00FB60CF">
        <w:rPr>
          <w:rFonts w:asciiTheme="majorHAnsi" w:hAnsiTheme="majorHAnsi"/>
        </w:rPr>
        <w:t>37</w:t>
      </w:r>
      <w:r w:rsidR="00021C15">
        <w:rPr>
          <w:rFonts w:asciiTheme="majorHAnsi" w:hAnsiTheme="majorHAnsi"/>
        </w:rPr>
        <w:t> </w:t>
      </w:r>
      <w:r w:rsidR="006B160A" w:rsidRPr="00FB60CF">
        <w:rPr>
          <w:rFonts w:asciiTheme="majorHAnsi" w:hAnsiTheme="majorHAnsi"/>
        </w:rPr>
        <w:t>73</w:t>
      </w:r>
      <w:r w:rsidR="00021C15">
        <w:rPr>
          <w:rFonts w:asciiTheme="majorHAnsi" w:hAnsiTheme="majorHAnsi"/>
        </w:rPr>
        <w:t xml:space="preserve">2 </w:t>
      </w:r>
      <w:r w:rsidR="006B160A" w:rsidRPr="00FB60CF">
        <w:rPr>
          <w:rFonts w:asciiTheme="majorHAnsi" w:hAnsiTheme="majorHAnsi"/>
        </w:rPr>
        <w:t xml:space="preserve">€ (compte courant), </w:t>
      </w:r>
      <w:r w:rsidRPr="00FB60CF">
        <w:rPr>
          <w:rFonts w:asciiTheme="majorHAnsi" w:hAnsiTheme="majorHAnsi"/>
        </w:rPr>
        <w:t>s</w:t>
      </w:r>
      <w:r w:rsidR="006B160A" w:rsidRPr="00FB60CF">
        <w:rPr>
          <w:rFonts w:asciiTheme="majorHAnsi" w:hAnsiTheme="majorHAnsi"/>
        </w:rPr>
        <w:t xml:space="preserve">oit une </w:t>
      </w:r>
      <w:r w:rsidR="00475FE4">
        <w:rPr>
          <w:rFonts w:asciiTheme="majorHAnsi" w:hAnsiTheme="majorHAnsi"/>
        </w:rPr>
        <w:t>baisse de</w:t>
      </w:r>
      <w:r w:rsidR="006B160A" w:rsidRPr="00FB60CF">
        <w:rPr>
          <w:rFonts w:asciiTheme="majorHAnsi" w:hAnsiTheme="majorHAnsi"/>
        </w:rPr>
        <w:t xml:space="preserve"> 10 616 </w:t>
      </w:r>
      <w:r w:rsidRPr="00FB60CF">
        <w:rPr>
          <w:rFonts w:asciiTheme="majorHAnsi" w:hAnsiTheme="majorHAnsi"/>
        </w:rPr>
        <w:t>€ par rapport à la fin de l’exercice précédent.</w:t>
      </w:r>
      <w:r w:rsidR="00021C15">
        <w:rPr>
          <w:rFonts w:asciiTheme="majorHAnsi" w:hAnsiTheme="majorHAnsi"/>
        </w:rPr>
        <w:t xml:space="preserve"> Le compte épargne de l’association présente quant à lui un solde de 46 258 € à la date de clôture de l’exercice.</w:t>
      </w:r>
    </w:p>
    <w:p w:rsidR="00BE4C01" w:rsidRPr="00FB60CF" w:rsidRDefault="00BE4C01" w:rsidP="00BE4C01">
      <w:pPr>
        <w:pStyle w:val="Paragraphedeliste"/>
        <w:ind w:left="360"/>
        <w:jc w:val="both"/>
        <w:rPr>
          <w:rFonts w:asciiTheme="majorHAnsi" w:hAnsiTheme="majorHAnsi"/>
        </w:rPr>
      </w:pPr>
    </w:p>
    <w:p w:rsidR="005E1B04" w:rsidRPr="00021C15" w:rsidRDefault="00021C15" w:rsidP="00021C15">
      <w:pPr>
        <w:pStyle w:val="Paragraphedeliste"/>
        <w:numPr>
          <w:ilvl w:val="0"/>
          <w:numId w:val="5"/>
        </w:numPr>
        <w:jc w:val="both"/>
        <w:rPr>
          <w:rFonts w:asciiTheme="majorHAnsi" w:hAnsiTheme="majorHAnsi"/>
        </w:rPr>
      </w:pPr>
      <w:r>
        <w:rPr>
          <w:rFonts w:asciiTheme="majorHAnsi" w:hAnsiTheme="majorHAnsi"/>
        </w:rPr>
        <w:t xml:space="preserve">En 2016, </w:t>
      </w:r>
      <w:r w:rsidR="00A53B09">
        <w:rPr>
          <w:rFonts w:asciiTheme="majorHAnsi" w:hAnsiTheme="majorHAnsi"/>
        </w:rPr>
        <w:t>le versement</w:t>
      </w:r>
      <w:r w:rsidR="00BE4C01" w:rsidRPr="00FB60CF">
        <w:rPr>
          <w:rFonts w:asciiTheme="majorHAnsi" w:hAnsiTheme="majorHAnsi"/>
        </w:rPr>
        <w:t xml:space="preserve"> des subventions </w:t>
      </w:r>
      <w:r w:rsidR="00475FE4">
        <w:rPr>
          <w:rFonts w:asciiTheme="majorHAnsi" w:hAnsiTheme="majorHAnsi"/>
        </w:rPr>
        <w:t>a débuté en</w:t>
      </w:r>
      <w:r w:rsidR="00BE4C01" w:rsidRPr="00FB60CF">
        <w:rPr>
          <w:rFonts w:asciiTheme="majorHAnsi" w:hAnsiTheme="majorHAnsi"/>
        </w:rPr>
        <w:t xml:space="preserve"> juin. Avant juin, l’</w:t>
      </w:r>
      <w:r w:rsidR="00475FE4">
        <w:rPr>
          <w:rFonts w:asciiTheme="majorHAnsi" w:hAnsiTheme="majorHAnsi"/>
        </w:rPr>
        <w:t>a</w:t>
      </w:r>
      <w:r w:rsidR="00BE4C01" w:rsidRPr="00FB60CF">
        <w:rPr>
          <w:rFonts w:asciiTheme="majorHAnsi" w:hAnsiTheme="majorHAnsi"/>
        </w:rPr>
        <w:t xml:space="preserve">ssociation </w:t>
      </w:r>
      <w:r w:rsidR="00475FE4">
        <w:rPr>
          <w:rFonts w:asciiTheme="majorHAnsi" w:hAnsiTheme="majorHAnsi"/>
        </w:rPr>
        <w:t>a dû</w:t>
      </w:r>
      <w:r w:rsidR="00BE4C01" w:rsidRPr="00FB60CF">
        <w:rPr>
          <w:rFonts w:asciiTheme="majorHAnsi" w:hAnsiTheme="majorHAnsi"/>
        </w:rPr>
        <w:t xml:space="preserve"> suivre plusieurs étapes dont la préparation </w:t>
      </w:r>
      <w:r>
        <w:rPr>
          <w:rFonts w:asciiTheme="majorHAnsi" w:hAnsiTheme="majorHAnsi"/>
        </w:rPr>
        <w:t>puis</w:t>
      </w:r>
      <w:r w:rsidR="00BE4C01" w:rsidRPr="00FB60CF">
        <w:rPr>
          <w:rFonts w:asciiTheme="majorHAnsi" w:hAnsiTheme="majorHAnsi"/>
        </w:rPr>
        <w:t xml:space="preserve"> l’adoption du plan d’action et du budget prévisionnel</w:t>
      </w:r>
      <w:r>
        <w:rPr>
          <w:rFonts w:asciiTheme="majorHAnsi" w:hAnsiTheme="majorHAnsi"/>
        </w:rPr>
        <w:t xml:space="preserve"> ainsi que</w:t>
      </w:r>
      <w:r w:rsidR="00BE4C01" w:rsidRPr="00FB60CF">
        <w:rPr>
          <w:rFonts w:asciiTheme="majorHAnsi" w:hAnsiTheme="majorHAnsi"/>
        </w:rPr>
        <w:t xml:space="preserve"> le dépôt des demandes de subvention, ce qui explique le versement au milieu de l’année. </w:t>
      </w:r>
      <w:r w:rsidR="00A53B09">
        <w:rPr>
          <w:rFonts w:asciiTheme="majorHAnsi" w:hAnsiTheme="majorHAnsi"/>
        </w:rPr>
        <w:t xml:space="preserve">La politique de l’association est de conserver un compte de trésorerie lui permettant de couvrir </w:t>
      </w:r>
      <w:r w:rsidR="00A167D7">
        <w:rPr>
          <w:rFonts w:asciiTheme="majorHAnsi" w:hAnsiTheme="majorHAnsi"/>
        </w:rPr>
        <w:t>s</w:t>
      </w:r>
      <w:r w:rsidR="00A53B09">
        <w:rPr>
          <w:rFonts w:asciiTheme="majorHAnsi" w:hAnsiTheme="majorHAnsi"/>
        </w:rPr>
        <w:t xml:space="preserve">es frais. </w:t>
      </w:r>
      <w:r w:rsidR="00BE4C01" w:rsidRPr="00FB60CF">
        <w:rPr>
          <w:rFonts w:asciiTheme="majorHAnsi" w:hAnsiTheme="majorHAnsi"/>
        </w:rPr>
        <w:t xml:space="preserve">Jusqu’à présent, l’AFAPDP n’a pas eu à faire face à des problèmes de trésorerie ce qui est une situation confortable </w:t>
      </w:r>
      <w:r>
        <w:rPr>
          <w:rFonts w:asciiTheme="majorHAnsi" w:hAnsiTheme="majorHAnsi"/>
        </w:rPr>
        <w:t>qui lui permet de</w:t>
      </w:r>
      <w:r w:rsidR="00BE4C01" w:rsidRPr="00FB60CF">
        <w:rPr>
          <w:rFonts w:asciiTheme="majorHAnsi" w:hAnsiTheme="majorHAnsi"/>
        </w:rPr>
        <w:t xml:space="preserve"> </w:t>
      </w:r>
      <w:r>
        <w:rPr>
          <w:rFonts w:asciiTheme="majorHAnsi" w:hAnsiTheme="majorHAnsi"/>
        </w:rPr>
        <w:t>mener</w:t>
      </w:r>
      <w:r w:rsidR="00BE4C01" w:rsidRPr="00FB60CF">
        <w:rPr>
          <w:rFonts w:asciiTheme="majorHAnsi" w:hAnsiTheme="majorHAnsi"/>
        </w:rPr>
        <w:t xml:space="preserve"> à bien ses activités avec son propre calendrier.</w:t>
      </w:r>
    </w:p>
    <w:p w:rsidR="00BE4C01" w:rsidRPr="005E1B04" w:rsidRDefault="00BE4C01" w:rsidP="005E1B04">
      <w:pPr>
        <w:tabs>
          <w:tab w:val="left" w:pos="6439"/>
        </w:tabs>
        <w:ind w:right="992"/>
        <w:jc w:val="right"/>
        <w:rPr>
          <w:rFonts w:asciiTheme="majorHAnsi" w:hAnsiTheme="majorHAnsi"/>
          <w:sz w:val="16"/>
          <w:szCs w:val="16"/>
        </w:rPr>
      </w:pPr>
    </w:p>
    <w:sectPr w:rsidR="00BE4C01" w:rsidRPr="005E1B04" w:rsidSect="00635B9D">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AA9" w:rsidRDefault="004A1AA9" w:rsidP="00DD32DF">
      <w:pPr>
        <w:spacing w:after="0" w:line="240" w:lineRule="auto"/>
      </w:pPr>
      <w:r>
        <w:separator/>
      </w:r>
    </w:p>
  </w:endnote>
  <w:endnote w:type="continuationSeparator" w:id="0">
    <w:p w:rsidR="004A1AA9" w:rsidRDefault="004A1AA9" w:rsidP="00DD3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228239"/>
      <w:docPartObj>
        <w:docPartGallery w:val="Page Numbers (Bottom of Page)"/>
        <w:docPartUnique/>
      </w:docPartObj>
    </w:sdtPr>
    <w:sdtEndPr/>
    <w:sdtContent>
      <w:p w:rsidR="004A1AA9" w:rsidRDefault="004A1AA9" w:rsidP="00DD32DF">
        <w:pPr>
          <w:pStyle w:val="Pieddepage"/>
          <w:jc w:val="right"/>
        </w:pPr>
        <w:r>
          <w:fldChar w:fldCharType="begin"/>
        </w:r>
        <w:r>
          <w:instrText>PAGE   \* MERGEFORMAT</w:instrText>
        </w:r>
        <w:r>
          <w:fldChar w:fldCharType="separate"/>
        </w:r>
        <w:r w:rsidR="00B36552">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AA9" w:rsidRDefault="004A1AA9" w:rsidP="00DD32DF">
      <w:pPr>
        <w:spacing w:after="0" w:line="240" w:lineRule="auto"/>
      </w:pPr>
      <w:r>
        <w:separator/>
      </w:r>
    </w:p>
  </w:footnote>
  <w:footnote w:type="continuationSeparator" w:id="0">
    <w:p w:rsidR="004A1AA9" w:rsidRDefault="004A1AA9" w:rsidP="00DD32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B9D" w:rsidRDefault="00635B9D">
    <w:pPr>
      <w:pStyle w:val="En-tte"/>
    </w:pPr>
    <w:r>
      <w:rPr>
        <w:noProof/>
        <w:lang w:eastAsia="fr-FR"/>
      </w:rPr>
      <w:drawing>
        <wp:inline distT="0" distB="0" distL="0" distR="0">
          <wp:extent cx="2837370" cy="733425"/>
          <wp:effectExtent l="0" t="0" r="127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APDP détouré.png"/>
                  <pic:cNvPicPr/>
                </pic:nvPicPr>
                <pic:blipFill>
                  <a:blip r:embed="rId1">
                    <a:extLst>
                      <a:ext uri="{28A0092B-C50C-407E-A947-70E740481C1C}">
                        <a14:useLocalDpi xmlns:a14="http://schemas.microsoft.com/office/drawing/2010/main" val="0"/>
                      </a:ext>
                    </a:extLst>
                  </a:blip>
                  <a:stretch>
                    <a:fillRect/>
                  </a:stretch>
                </pic:blipFill>
                <pic:spPr>
                  <a:xfrm>
                    <a:off x="0" y="0"/>
                    <a:ext cx="2840150" cy="73414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4707F"/>
    <w:multiLevelType w:val="hybridMultilevel"/>
    <w:tmpl w:val="33C0AE22"/>
    <w:lvl w:ilvl="0" w:tplc="040C0013">
      <w:start w:val="1"/>
      <w:numFmt w:val="upperRoman"/>
      <w:lvlText w:val="%1."/>
      <w:lvlJc w:val="righ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 w15:restartNumberingAfterBreak="0">
    <w:nsid w:val="0B19694E"/>
    <w:multiLevelType w:val="hybridMultilevel"/>
    <w:tmpl w:val="2A741A4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13366D3"/>
    <w:multiLevelType w:val="hybridMultilevel"/>
    <w:tmpl w:val="348AFA4C"/>
    <w:lvl w:ilvl="0" w:tplc="040C000F">
      <w:start w:val="1"/>
      <w:numFmt w:val="decimal"/>
      <w:lvlText w:val="%1."/>
      <w:lvlJc w:val="left"/>
      <w:pPr>
        <w:ind w:left="360" w:hanging="360"/>
      </w:pPr>
      <w:rPr>
        <w:rFonts w:hint="default"/>
      </w:rPr>
    </w:lvl>
    <w:lvl w:ilvl="1" w:tplc="040C0005">
      <w:start w:val="1"/>
      <w:numFmt w:val="bullet"/>
      <w:lvlText w:val=""/>
      <w:lvlJc w:val="left"/>
      <w:pPr>
        <w:ind w:left="1080" w:hanging="360"/>
      </w:pPr>
      <w:rPr>
        <w:rFonts w:ascii="Wingdings" w:hAnsi="Wingdings" w:hint="default"/>
        <w:b/>
        <w:i w:val="0"/>
        <w:color w:val="44546A" w:themeColor="text2"/>
      </w:rPr>
    </w:lvl>
    <w:lvl w:ilvl="2" w:tplc="D16CBD7C">
      <w:start w:val="1"/>
      <w:numFmt w:val="upperRoman"/>
      <w:lvlText w:val="%3."/>
      <w:lvlJc w:val="right"/>
      <w:pPr>
        <w:ind w:left="1800" w:hanging="180"/>
      </w:pPr>
      <w:rPr>
        <w:b/>
        <w:i w:val="0"/>
        <w:color w:val="44546A" w:themeColor="text2"/>
      </w:r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2071814"/>
    <w:multiLevelType w:val="hybridMultilevel"/>
    <w:tmpl w:val="C22EE112"/>
    <w:lvl w:ilvl="0" w:tplc="040C0005">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11B25420">
      <w:start w:val="1"/>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4D127C4"/>
    <w:multiLevelType w:val="hybridMultilevel"/>
    <w:tmpl w:val="925EA206"/>
    <w:lvl w:ilvl="0" w:tplc="040C0013">
      <w:start w:val="1"/>
      <w:numFmt w:val="upperRoman"/>
      <w:lvlText w:val="%1."/>
      <w:lvlJc w:val="right"/>
      <w:pPr>
        <w:ind w:left="1800" w:hanging="360"/>
      </w:p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5" w15:restartNumberingAfterBreak="0">
    <w:nsid w:val="508B2FD3"/>
    <w:multiLevelType w:val="hybridMultilevel"/>
    <w:tmpl w:val="FC6EB2F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A647D84"/>
    <w:multiLevelType w:val="hybridMultilevel"/>
    <w:tmpl w:val="86E6D026"/>
    <w:lvl w:ilvl="0" w:tplc="CF186842">
      <w:start w:val="1"/>
      <w:numFmt w:val="bullet"/>
      <w:lvlText w:val=""/>
      <w:lvlJc w:val="left"/>
      <w:pPr>
        <w:ind w:left="720" w:hanging="360"/>
      </w:pPr>
      <w:rPr>
        <w:rFonts w:ascii="Wingdings" w:hAnsi="Wingdings" w:hint="default"/>
        <w:color w:val="44546A"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FE52CF1"/>
    <w:multiLevelType w:val="hybridMultilevel"/>
    <w:tmpl w:val="6312186C"/>
    <w:lvl w:ilvl="0" w:tplc="90FC7DBE">
      <w:start w:val="1"/>
      <w:numFmt w:val="upperLetter"/>
      <w:lvlText w:val="%1."/>
      <w:lvlJc w:val="left"/>
      <w:pPr>
        <w:ind w:left="720" w:hanging="360"/>
      </w:pPr>
      <w:rPr>
        <w:rFonts w:hint="default"/>
        <w:b/>
        <w:i w:val="0"/>
        <w:color w:val="44546A" w:themeColor="tex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87823BC"/>
    <w:multiLevelType w:val="hybridMultilevel"/>
    <w:tmpl w:val="8D022A50"/>
    <w:lvl w:ilvl="0" w:tplc="3AA0651E">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3723C75"/>
    <w:multiLevelType w:val="hybridMultilevel"/>
    <w:tmpl w:val="4E00E946"/>
    <w:lvl w:ilvl="0" w:tplc="040C0013">
      <w:start w:val="1"/>
      <w:numFmt w:val="upperRoman"/>
      <w:lvlText w:val="%1."/>
      <w:lvlJc w:val="righ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0" w15:restartNumberingAfterBreak="0">
    <w:nsid w:val="76101634"/>
    <w:multiLevelType w:val="hybridMultilevel"/>
    <w:tmpl w:val="0DCA4774"/>
    <w:lvl w:ilvl="0" w:tplc="9738E6BE">
      <w:start w:val="1"/>
      <w:numFmt w:val="upperRoman"/>
      <w:lvlText w:val="%1."/>
      <w:lvlJc w:val="right"/>
      <w:pPr>
        <w:ind w:left="720" w:hanging="360"/>
      </w:pPr>
      <w:rPr>
        <w:rFonts w:hint="default"/>
        <w:b/>
        <w:color w:val="44546A" w:themeColor="tex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BA365D9"/>
    <w:multiLevelType w:val="hybridMultilevel"/>
    <w:tmpl w:val="73ACF2FC"/>
    <w:lvl w:ilvl="0" w:tplc="9D540B42">
      <w:start w:val="1"/>
      <w:numFmt w:val="lowerLetter"/>
      <w:lvlText w:val="%1."/>
      <w:lvlJc w:val="left"/>
      <w:pPr>
        <w:ind w:left="720" w:hanging="360"/>
      </w:pPr>
      <w:rPr>
        <w:rFonts w:hint="default"/>
        <w:b/>
        <w:color w:val="C00000"/>
      </w:rPr>
    </w:lvl>
    <w:lvl w:ilvl="1" w:tplc="38962290">
      <w:start w:val="1"/>
      <w:numFmt w:val="lowerRoman"/>
      <w:lvlText w:val="%2."/>
      <w:lvlJc w:val="right"/>
      <w:pPr>
        <w:ind w:left="1440" w:hanging="360"/>
      </w:pPr>
      <w:rPr>
        <w:b/>
        <w:color w:val="44546A" w:themeColor="text2"/>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1"/>
  </w:num>
  <w:num w:numId="3">
    <w:abstractNumId w:val="3"/>
  </w:num>
  <w:num w:numId="4">
    <w:abstractNumId w:val="8"/>
  </w:num>
  <w:num w:numId="5">
    <w:abstractNumId w:val="2"/>
  </w:num>
  <w:num w:numId="6">
    <w:abstractNumId w:val="1"/>
  </w:num>
  <w:num w:numId="7">
    <w:abstractNumId w:val="4"/>
  </w:num>
  <w:num w:numId="8">
    <w:abstractNumId w:val="9"/>
  </w:num>
  <w:num w:numId="9">
    <w:abstractNumId w:val="0"/>
  </w:num>
  <w:num w:numId="10">
    <w:abstractNumId w:val="5"/>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DDF"/>
    <w:rsid w:val="0001084D"/>
    <w:rsid w:val="00014F2B"/>
    <w:rsid w:val="00021C15"/>
    <w:rsid w:val="00022B84"/>
    <w:rsid w:val="00036A6E"/>
    <w:rsid w:val="000501D1"/>
    <w:rsid w:val="000522F1"/>
    <w:rsid w:val="00057E72"/>
    <w:rsid w:val="00071A78"/>
    <w:rsid w:val="00093B81"/>
    <w:rsid w:val="0009403C"/>
    <w:rsid w:val="000B3CE9"/>
    <w:rsid w:val="000B5561"/>
    <w:rsid w:val="000C2CB2"/>
    <w:rsid w:val="000C6C23"/>
    <w:rsid w:val="000D4A2B"/>
    <w:rsid w:val="000D4B36"/>
    <w:rsid w:val="000E6D1B"/>
    <w:rsid w:val="000F5D29"/>
    <w:rsid w:val="00102308"/>
    <w:rsid w:val="001126C7"/>
    <w:rsid w:val="0011635E"/>
    <w:rsid w:val="00131C3C"/>
    <w:rsid w:val="00136165"/>
    <w:rsid w:val="0014297A"/>
    <w:rsid w:val="00151D5F"/>
    <w:rsid w:val="0015362C"/>
    <w:rsid w:val="00162DBF"/>
    <w:rsid w:val="00163BC1"/>
    <w:rsid w:val="00164141"/>
    <w:rsid w:val="00181AE1"/>
    <w:rsid w:val="001907C5"/>
    <w:rsid w:val="00193159"/>
    <w:rsid w:val="00195D35"/>
    <w:rsid w:val="001C3277"/>
    <w:rsid w:val="001C349A"/>
    <w:rsid w:val="001C5A7F"/>
    <w:rsid w:val="001F7DDF"/>
    <w:rsid w:val="002000F4"/>
    <w:rsid w:val="00213767"/>
    <w:rsid w:val="00214037"/>
    <w:rsid w:val="00214A87"/>
    <w:rsid w:val="0024478F"/>
    <w:rsid w:val="00250728"/>
    <w:rsid w:val="002720EC"/>
    <w:rsid w:val="00275FCC"/>
    <w:rsid w:val="002B007B"/>
    <w:rsid w:val="002B51D4"/>
    <w:rsid w:val="002E1A5E"/>
    <w:rsid w:val="002E53D7"/>
    <w:rsid w:val="00304620"/>
    <w:rsid w:val="0030740F"/>
    <w:rsid w:val="00351F4D"/>
    <w:rsid w:val="00355849"/>
    <w:rsid w:val="00356245"/>
    <w:rsid w:val="00364DD4"/>
    <w:rsid w:val="00373F3C"/>
    <w:rsid w:val="00375014"/>
    <w:rsid w:val="00384101"/>
    <w:rsid w:val="00386EB6"/>
    <w:rsid w:val="00391BB5"/>
    <w:rsid w:val="00393B2E"/>
    <w:rsid w:val="003A1431"/>
    <w:rsid w:val="003A1ED3"/>
    <w:rsid w:val="003A5CA2"/>
    <w:rsid w:val="003B7526"/>
    <w:rsid w:val="003D43E3"/>
    <w:rsid w:val="003F11A7"/>
    <w:rsid w:val="0040508F"/>
    <w:rsid w:val="00414BDE"/>
    <w:rsid w:val="00417458"/>
    <w:rsid w:val="00431491"/>
    <w:rsid w:val="00434A7F"/>
    <w:rsid w:val="004515C2"/>
    <w:rsid w:val="0045526E"/>
    <w:rsid w:val="00461595"/>
    <w:rsid w:val="00465543"/>
    <w:rsid w:val="00475FE4"/>
    <w:rsid w:val="00477BC1"/>
    <w:rsid w:val="00487C1D"/>
    <w:rsid w:val="004A00E8"/>
    <w:rsid w:val="004A0A77"/>
    <w:rsid w:val="004A0B16"/>
    <w:rsid w:val="004A1AA9"/>
    <w:rsid w:val="004A5F37"/>
    <w:rsid w:val="00500E91"/>
    <w:rsid w:val="00517BCF"/>
    <w:rsid w:val="00526DF7"/>
    <w:rsid w:val="00561947"/>
    <w:rsid w:val="005634BD"/>
    <w:rsid w:val="0056461F"/>
    <w:rsid w:val="0057173E"/>
    <w:rsid w:val="005A36E7"/>
    <w:rsid w:val="005C016C"/>
    <w:rsid w:val="005C3A24"/>
    <w:rsid w:val="005E1B04"/>
    <w:rsid w:val="005E7E5B"/>
    <w:rsid w:val="005E7EA1"/>
    <w:rsid w:val="005F71E1"/>
    <w:rsid w:val="00612515"/>
    <w:rsid w:val="006173DB"/>
    <w:rsid w:val="00620CAF"/>
    <w:rsid w:val="00621D5E"/>
    <w:rsid w:val="00627B06"/>
    <w:rsid w:val="00633A72"/>
    <w:rsid w:val="00635B9D"/>
    <w:rsid w:val="00643F17"/>
    <w:rsid w:val="006462C4"/>
    <w:rsid w:val="006539A1"/>
    <w:rsid w:val="006541E4"/>
    <w:rsid w:val="006549BB"/>
    <w:rsid w:val="00674021"/>
    <w:rsid w:val="0067693A"/>
    <w:rsid w:val="006779C3"/>
    <w:rsid w:val="006B160A"/>
    <w:rsid w:val="006C7F4A"/>
    <w:rsid w:val="006E3170"/>
    <w:rsid w:val="006E4D65"/>
    <w:rsid w:val="006E5372"/>
    <w:rsid w:val="006F0901"/>
    <w:rsid w:val="006F14C1"/>
    <w:rsid w:val="006F1576"/>
    <w:rsid w:val="006F2AD8"/>
    <w:rsid w:val="007011C2"/>
    <w:rsid w:val="0070497D"/>
    <w:rsid w:val="007132A9"/>
    <w:rsid w:val="00717131"/>
    <w:rsid w:val="007300B7"/>
    <w:rsid w:val="00731F72"/>
    <w:rsid w:val="00733ED2"/>
    <w:rsid w:val="00734D48"/>
    <w:rsid w:val="00736D9E"/>
    <w:rsid w:val="007537EC"/>
    <w:rsid w:val="007619C3"/>
    <w:rsid w:val="00777A94"/>
    <w:rsid w:val="007A4853"/>
    <w:rsid w:val="007A5CA0"/>
    <w:rsid w:val="007B0326"/>
    <w:rsid w:val="007B3F12"/>
    <w:rsid w:val="007D03D1"/>
    <w:rsid w:val="0081495B"/>
    <w:rsid w:val="00831A7E"/>
    <w:rsid w:val="00831CEE"/>
    <w:rsid w:val="00844DCA"/>
    <w:rsid w:val="00875534"/>
    <w:rsid w:val="0088098E"/>
    <w:rsid w:val="00884834"/>
    <w:rsid w:val="00895C73"/>
    <w:rsid w:val="008A1E2F"/>
    <w:rsid w:val="008B320F"/>
    <w:rsid w:val="008B6207"/>
    <w:rsid w:val="008C0F09"/>
    <w:rsid w:val="008C530C"/>
    <w:rsid w:val="008E1483"/>
    <w:rsid w:val="008E152E"/>
    <w:rsid w:val="00903DAA"/>
    <w:rsid w:val="00912C1C"/>
    <w:rsid w:val="00916319"/>
    <w:rsid w:val="00920D62"/>
    <w:rsid w:val="00923F6F"/>
    <w:rsid w:val="009378DD"/>
    <w:rsid w:val="00944EA9"/>
    <w:rsid w:val="00960BE1"/>
    <w:rsid w:val="009640FE"/>
    <w:rsid w:val="00970859"/>
    <w:rsid w:val="00994438"/>
    <w:rsid w:val="009A38FA"/>
    <w:rsid w:val="009A6230"/>
    <w:rsid w:val="009C78AA"/>
    <w:rsid w:val="009D3171"/>
    <w:rsid w:val="009D732C"/>
    <w:rsid w:val="009D765E"/>
    <w:rsid w:val="00A073A1"/>
    <w:rsid w:val="00A12127"/>
    <w:rsid w:val="00A167D7"/>
    <w:rsid w:val="00A317E3"/>
    <w:rsid w:val="00A42459"/>
    <w:rsid w:val="00A53B09"/>
    <w:rsid w:val="00A5522C"/>
    <w:rsid w:val="00A564D8"/>
    <w:rsid w:val="00A9235E"/>
    <w:rsid w:val="00A94D25"/>
    <w:rsid w:val="00AA1DC4"/>
    <w:rsid w:val="00AA6745"/>
    <w:rsid w:val="00AA7787"/>
    <w:rsid w:val="00AB06FA"/>
    <w:rsid w:val="00AB2FF3"/>
    <w:rsid w:val="00AD7A23"/>
    <w:rsid w:val="00AE38E5"/>
    <w:rsid w:val="00AE635B"/>
    <w:rsid w:val="00AF2BF1"/>
    <w:rsid w:val="00B03821"/>
    <w:rsid w:val="00B06A88"/>
    <w:rsid w:val="00B16E5E"/>
    <w:rsid w:val="00B36552"/>
    <w:rsid w:val="00B51D50"/>
    <w:rsid w:val="00B60B04"/>
    <w:rsid w:val="00B615F8"/>
    <w:rsid w:val="00B623EB"/>
    <w:rsid w:val="00B63DF4"/>
    <w:rsid w:val="00B64124"/>
    <w:rsid w:val="00B73EA3"/>
    <w:rsid w:val="00B74F78"/>
    <w:rsid w:val="00B75CAF"/>
    <w:rsid w:val="00B861BF"/>
    <w:rsid w:val="00B9334E"/>
    <w:rsid w:val="00BB2D09"/>
    <w:rsid w:val="00BC79ED"/>
    <w:rsid w:val="00BD3F1C"/>
    <w:rsid w:val="00BE0398"/>
    <w:rsid w:val="00BE4418"/>
    <w:rsid w:val="00BE4C01"/>
    <w:rsid w:val="00BF586C"/>
    <w:rsid w:val="00C03F3C"/>
    <w:rsid w:val="00C050A2"/>
    <w:rsid w:val="00C078E8"/>
    <w:rsid w:val="00C23AFA"/>
    <w:rsid w:val="00C40663"/>
    <w:rsid w:val="00C429D4"/>
    <w:rsid w:val="00C84B92"/>
    <w:rsid w:val="00C904AA"/>
    <w:rsid w:val="00C9136A"/>
    <w:rsid w:val="00C96D97"/>
    <w:rsid w:val="00CB1A13"/>
    <w:rsid w:val="00CC3B12"/>
    <w:rsid w:val="00CD4D4C"/>
    <w:rsid w:val="00CF320C"/>
    <w:rsid w:val="00CF4214"/>
    <w:rsid w:val="00D01C1B"/>
    <w:rsid w:val="00D04413"/>
    <w:rsid w:val="00D24DA7"/>
    <w:rsid w:val="00D333B4"/>
    <w:rsid w:val="00D4021D"/>
    <w:rsid w:val="00D64E01"/>
    <w:rsid w:val="00D65C3B"/>
    <w:rsid w:val="00D9029D"/>
    <w:rsid w:val="00D90BFF"/>
    <w:rsid w:val="00DA04DF"/>
    <w:rsid w:val="00DA4EB4"/>
    <w:rsid w:val="00DB40C2"/>
    <w:rsid w:val="00DB4560"/>
    <w:rsid w:val="00DC29C7"/>
    <w:rsid w:val="00DC77B5"/>
    <w:rsid w:val="00DD32DF"/>
    <w:rsid w:val="00DD547A"/>
    <w:rsid w:val="00E05BEE"/>
    <w:rsid w:val="00E06597"/>
    <w:rsid w:val="00E14A39"/>
    <w:rsid w:val="00E3650F"/>
    <w:rsid w:val="00E76221"/>
    <w:rsid w:val="00E76963"/>
    <w:rsid w:val="00E806DD"/>
    <w:rsid w:val="00E843E3"/>
    <w:rsid w:val="00E87574"/>
    <w:rsid w:val="00EA22CF"/>
    <w:rsid w:val="00EB7270"/>
    <w:rsid w:val="00ED4CDC"/>
    <w:rsid w:val="00EE694F"/>
    <w:rsid w:val="00EF1796"/>
    <w:rsid w:val="00EF2317"/>
    <w:rsid w:val="00F0167E"/>
    <w:rsid w:val="00F14C4D"/>
    <w:rsid w:val="00F21B2D"/>
    <w:rsid w:val="00F3259B"/>
    <w:rsid w:val="00F32BCD"/>
    <w:rsid w:val="00F33E6C"/>
    <w:rsid w:val="00F45EAF"/>
    <w:rsid w:val="00F65C0E"/>
    <w:rsid w:val="00F65FF7"/>
    <w:rsid w:val="00FB1B21"/>
    <w:rsid w:val="00FB23AA"/>
    <w:rsid w:val="00FB60CF"/>
    <w:rsid w:val="00FB6BFE"/>
    <w:rsid w:val="00FB7851"/>
    <w:rsid w:val="00FD4C56"/>
    <w:rsid w:val="00FF4C90"/>
    <w:rsid w:val="00FF5C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A812615-6A54-4071-941A-50834061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214"/>
    <w:pPr>
      <w:spacing w:after="200" w:line="276" w:lineRule="auto"/>
    </w:pPr>
  </w:style>
  <w:style w:type="paragraph" w:styleId="Titre2">
    <w:name w:val="heading 2"/>
    <w:basedOn w:val="Normal"/>
    <w:next w:val="Normal"/>
    <w:link w:val="Titre2Car"/>
    <w:uiPriority w:val="9"/>
    <w:semiHidden/>
    <w:unhideWhenUsed/>
    <w:qFormat/>
    <w:rsid w:val="00393B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DD32DF"/>
    <w:pPr>
      <w:suppressAutoHyphens/>
      <w:autoSpaceDN w:val="0"/>
      <w:spacing w:after="200" w:line="276" w:lineRule="auto"/>
      <w:textAlignment w:val="baseline"/>
    </w:pPr>
    <w:rPr>
      <w:rFonts w:ascii="Calibri" w:eastAsia="SimSun" w:hAnsi="Calibri" w:cs="Calibri"/>
      <w:kern w:val="3"/>
    </w:rPr>
  </w:style>
  <w:style w:type="paragraph" w:styleId="En-tte">
    <w:name w:val="header"/>
    <w:basedOn w:val="Normal"/>
    <w:link w:val="En-tteCar"/>
    <w:uiPriority w:val="99"/>
    <w:unhideWhenUsed/>
    <w:rsid w:val="00DD32DF"/>
    <w:pPr>
      <w:tabs>
        <w:tab w:val="center" w:pos="4536"/>
        <w:tab w:val="right" w:pos="9072"/>
      </w:tabs>
      <w:spacing w:after="0" w:line="240" w:lineRule="auto"/>
    </w:pPr>
  </w:style>
  <w:style w:type="character" w:customStyle="1" w:styleId="En-tteCar">
    <w:name w:val="En-tête Car"/>
    <w:basedOn w:val="Policepardfaut"/>
    <w:link w:val="En-tte"/>
    <w:uiPriority w:val="99"/>
    <w:rsid w:val="00DD32DF"/>
  </w:style>
  <w:style w:type="paragraph" w:styleId="Pieddepage">
    <w:name w:val="footer"/>
    <w:basedOn w:val="Normal"/>
    <w:link w:val="PieddepageCar"/>
    <w:uiPriority w:val="99"/>
    <w:unhideWhenUsed/>
    <w:rsid w:val="00DD32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32DF"/>
  </w:style>
  <w:style w:type="paragraph" w:styleId="Paragraphedeliste">
    <w:name w:val="List Paragraph"/>
    <w:basedOn w:val="Normal"/>
    <w:uiPriority w:val="34"/>
    <w:qFormat/>
    <w:rsid w:val="00DD32DF"/>
    <w:pPr>
      <w:ind w:left="720"/>
      <w:contextualSpacing/>
    </w:pPr>
  </w:style>
  <w:style w:type="table" w:styleId="Grilledutableau">
    <w:name w:val="Table Grid"/>
    <w:basedOn w:val="TableauNormal"/>
    <w:uiPriority w:val="39"/>
    <w:rsid w:val="003B7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1212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2127"/>
    <w:rPr>
      <w:rFonts w:ascii="Segoe UI" w:hAnsi="Segoe UI" w:cs="Segoe UI"/>
      <w:sz w:val="18"/>
      <w:szCs w:val="18"/>
    </w:rPr>
  </w:style>
  <w:style w:type="character" w:customStyle="1" w:styleId="Titre2Car">
    <w:name w:val="Titre 2 Car"/>
    <w:basedOn w:val="Policepardfaut"/>
    <w:link w:val="Titre2"/>
    <w:uiPriority w:val="9"/>
    <w:semiHidden/>
    <w:rsid w:val="00393B2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637698">
      <w:bodyDiv w:val="1"/>
      <w:marLeft w:val="0"/>
      <w:marRight w:val="0"/>
      <w:marTop w:val="0"/>
      <w:marBottom w:val="0"/>
      <w:divBdr>
        <w:top w:val="none" w:sz="0" w:space="0" w:color="auto"/>
        <w:left w:val="none" w:sz="0" w:space="0" w:color="auto"/>
        <w:bottom w:val="none" w:sz="0" w:space="0" w:color="auto"/>
        <w:right w:val="none" w:sz="0" w:space="0" w:color="auto"/>
      </w:divBdr>
    </w:div>
    <w:div w:id="1210074731">
      <w:bodyDiv w:val="1"/>
      <w:marLeft w:val="0"/>
      <w:marRight w:val="0"/>
      <w:marTop w:val="0"/>
      <w:marBottom w:val="0"/>
      <w:divBdr>
        <w:top w:val="none" w:sz="0" w:space="0" w:color="auto"/>
        <w:left w:val="none" w:sz="0" w:space="0" w:color="auto"/>
        <w:bottom w:val="none" w:sz="0" w:space="0" w:color="auto"/>
        <w:right w:val="none" w:sz="0" w:space="0" w:color="auto"/>
      </w:divBdr>
    </w:div>
    <w:div w:id="1220825932">
      <w:bodyDiv w:val="1"/>
      <w:marLeft w:val="0"/>
      <w:marRight w:val="0"/>
      <w:marTop w:val="0"/>
      <w:marBottom w:val="0"/>
      <w:divBdr>
        <w:top w:val="none" w:sz="0" w:space="0" w:color="auto"/>
        <w:left w:val="none" w:sz="0" w:space="0" w:color="auto"/>
        <w:bottom w:val="none" w:sz="0" w:space="0" w:color="auto"/>
        <w:right w:val="none" w:sz="0" w:space="0" w:color="auto"/>
      </w:divBdr>
    </w:div>
    <w:div w:id="1524127637">
      <w:bodyDiv w:val="1"/>
      <w:marLeft w:val="0"/>
      <w:marRight w:val="0"/>
      <w:marTop w:val="0"/>
      <w:marBottom w:val="0"/>
      <w:divBdr>
        <w:top w:val="none" w:sz="0" w:space="0" w:color="auto"/>
        <w:left w:val="none" w:sz="0" w:space="0" w:color="auto"/>
        <w:bottom w:val="none" w:sz="0" w:space="0" w:color="auto"/>
        <w:right w:val="none" w:sz="0" w:space="0" w:color="auto"/>
      </w:divBdr>
    </w:div>
    <w:div w:id="1789817945">
      <w:bodyDiv w:val="1"/>
      <w:marLeft w:val="0"/>
      <w:marRight w:val="0"/>
      <w:marTop w:val="0"/>
      <w:marBottom w:val="0"/>
      <w:divBdr>
        <w:top w:val="none" w:sz="0" w:space="0" w:color="auto"/>
        <w:left w:val="none" w:sz="0" w:space="0" w:color="auto"/>
        <w:bottom w:val="none" w:sz="0" w:space="0" w:color="auto"/>
        <w:right w:val="none" w:sz="0" w:space="0" w:color="auto"/>
      </w:divBdr>
    </w:div>
    <w:div w:id="1837529306">
      <w:bodyDiv w:val="1"/>
      <w:marLeft w:val="0"/>
      <w:marRight w:val="0"/>
      <w:marTop w:val="0"/>
      <w:marBottom w:val="0"/>
      <w:divBdr>
        <w:top w:val="none" w:sz="0" w:space="0" w:color="auto"/>
        <w:left w:val="none" w:sz="0" w:space="0" w:color="auto"/>
        <w:bottom w:val="none" w:sz="0" w:space="0" w:color="auto"/>
        <w:right w:val="none" w:sz="0" w:space="0" w:color="auto"/>
      </w:divBdr>
    </w:div>
    <w:div w:id="195097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Feuille_de_calcul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Feuille_de_calcul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Feuille_de_calcul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Feuille_de_calcul_Microsoft_Excel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fr-FR"/>
              <a:t>PRODUITS D'EXPLOITATION</a:t>
            </a:r>
          </a:p>
        </c:rich>
      </c:tx>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fr-FR"/>
        </a:p>
      </c:txPr>
    </c:title>
    <c:autoTitleDeleted val="0"/>
    <c:plotArea>
      <c:layout/>
      <c:pieChart>
        <c:varyColors val="1"/>
        <c:ser>
          <c:idx val="0"/>
          <c:order val="0"/>
          <c:dPt>
            <c:idx val="0"/>
            <c:bubble3D val="0"/>
            <c:spPr>
              <a:solidFill>
                <a:schemeClr val="accent1">
                  <a:shade val="76000"/>
                </a:schemeClr>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1">
                  <a:tint val="77000"/>
                </a:schemeClr>
              </a:solidFill>
              <a:ln>
                <a:noFill/>
              </a:ln>
              <a:effectLst/>
              <a:scene3d>
                <a:camera prst="orthographicFront"/>
                <a:lightRig rig="brightRoom" dir="t"/>
              </a:scene3d>
              <a:sp3d prstMaterial="flat">
                <a:bevelT w="50800" h="101600" prst="angle"/>
                <a:contourClr>
                  <a:srgbClr val="000000"/>
                </a:contourClr>
              </a:sp3d>
            </c:spPr>
          </c:dPt>
          <c:dLbls>
            <c:dLbl>
              <c:idx val="1"/>
              <c:layout/>
              <c:tx>
                <c:rich>
                  <a:bodyPr/>
                  <a:lstStyle/>
                  <a:p>
                    <a:fld id="{95F6B737-7762-4E5F-A870-221075771B65}" type="CATEGORYNAME">
                      <a:rPr lang="en-US">
                        <a:solidFill>
                          <a:schemeClr val="bg2">
                            <a:lumMod val="50000"/>
                          </a:schemeClr>
                        </a:solidFill>
                      </a:rPr>
                      <a:pPr/>
                      <a:t>[NOM DE CATÉGORIE]</a:t>
                    </a:fld>
                    <a:r>
                      <a:rPr lang="en-US" baseline="0"/>
                      <a:t>
</a:t>
                    </a:r>
                    <a:fld id="{643591FE-00BD-4EA4-9ED3-C95FCA09F53F}" type="PERCENTAGE">
                      <a:rPr lang="en-US" baseline="0">
                        <a:solidFill>
                          <a:schemeClr val="bg2">
                            <a:lumMod val="50000"/>
                          </a:schemeClr>
                        </a:solidFill>
                      </a:rPr>
                      <a:pPr/>
                      <a:t>[POURCENTAGE]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(Résultat!$A$2,Résultat!$A$6)</c:f>
              <c:strCache>
                <c:ptCount val="2"/>
                <c:pt idx="0">
                  <c:v>Subventions d'exploitation</c:v>
                </c:pt>
                <c:pt idx="1">
                  <c:v>Cotisations et Inscriptions</c:v>
                </c:pt>
              </c:strCache>
            </c:strRef>
          </c:cat>
          <c:val>
            <c:numRef>
              <c:f>(Résultat!$B$2,Résultat!$B$6)</c:f>
              <c:numCache>
                <c:formatCode>#,##0\ "€"</c:formatCode>
                <c:ptCount val="2"/>
                <c:pt idx="0">
                  <c:v>90573</c:v>
                </c:pt>
                <c:pt idx="1">
                  <c:v>20985</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EVOLUTION DU PRODUIT D'EXPLOITATION</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numRef>
              <c:f>'Evolution 2016-2016'!$B$1:$D$1</c:f>
              <c:numCache>
                <c:formatCode>General</c:formatCode>
                <c:ptCount val="3"/>
                <c:pt idx="0">
                  <c:v>2014</c:v>
                </c:pt>
                <c:pt idx="1">
                  <c:v>2015</c:v>
                </c:pt>
                <c:pt idx="2">
                  <c:v>2016</c:v>
                </c:pt>
              </c:numCache>
            </c:numRef>
          </c:cat>
          <c:val>
            <c:numRef>
              <c:f>'Evolution 2016-2016'!$B$2:$D$2</c:f>
              <c:numCache>
                <c:formatCode>#,##0\ "€"</c:formatCode>
                <c:ptCount val="3"/>
                <c:pt idx="0">
                  <c:v>101317</c:v>
                </c:pt>
                <c:pt idx="1">
                  <c:v>99208</c:v>
                </c:pt>
                <c:pt idx="2">
                  <c:v>111558</c:v>
                </c:pt>
              </c:numCache>
            </c:numRef>
          </c:val>
        </c:ser>
        <c:dLbls>
          <c:dLblPos val="outEnd"/>
          <c:showLegendKey val="0"/>
          <c:showVal val="1"/>
          <c:showCatName val="0"/>
          <c:showSerName val="0"/>
          <c:showPercent val="0"/>
          <c:showBubbleSize val="0"/>
        </c:dLbls>
        <c:gapWidth val="219"/>
        <c:overlap val="-27"/>
        <c:axId val="182055592"/>
        <c:axId val="360172296"/>
      </c:barChart>
      <c:catAx>
        <c:axId val="182055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60172296"/>
        <c:crosses val="autoZero"/>
        <c:auto val="1"/>
        <c:lblAlgn val="ctr"/>
        <c:lblOffset val="100"/>
        <c:noMultiLvlLbl val="0"/>
      </c:catAx>
      <c:valAx>
        <c:axId val="360172296"/>
        <c:scaling>
          <c:orientation val="minMax"/>
        </c:scaling>
        <c:delete val="0"/>
        <c:axPos val="l"/>
        <c:majorGridlines>
          <c:spPr>
            <a:ln w="9525" cap="flat" cmpd="sng" algn="ctr">
              <a:solidFill>
                <a:schemeClr val="tx1">
                  <a:lumMod val="15000"/>
                  <a:lumOff val="85000"/>
                </a:schemeClr>
              </a:solidFill>
              <a:round/>
            </a:ln>
            <a:effectLst/>
          </c:spPr>
        </c:majorGridlines>
        <c:numFmt formatCode="#,##0\ &quot;€&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82055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fr-FR"/>
              <a:t>CHARGES D'EXPLOITATION</a:t>
            </a:r>
          </a:p>
        </c:rich>
      </c:tx>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fr-FR"/>
        </a:p>
      </c:txPr>
    </c:title>
    <c:autoTitleDeleted val="0"/>
    <c:plotArea>
      <c:layout/>
      <c:pieChart>
        <c:varyColors val="1"/>
        <c:ser>
          <c:idx val="0"/>
          <c:order val="0"/>
          <c:dPt>
            <c:idx val="0"/>
            <c:bubble3D val="0"/>
            <c:spPr>
              <a:solidFill>
                <a:schemeClr val="accent1">
                  <a:shade val="65000"/>
                </a:schemeClr>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1">
                  <a:tint val="65000"/>
                </a:schemeClr>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Résultat!$D$2:$D$4</c:f>
              <c:strCache>
                <c:ptCount val="3"/>
                <c:pt idx="0">
                  <c:v>Salaires, traitements et charges sociales</c:v>
                </c:pt>
                <c:pt idx="1">
                  <c:v>Voyages et déplacements</c:v>
                </c:pt>
                <c:pt idx="2">
                  <c:v>Autres charges</c:v>
                </c:pt>
              </c:strCache>
            </c:strRef>
          </c:cat>
          <c:val>
            <c:numRef>
              <c:f>Résultat!$E$2:$E$4</c:f>
              <c:numCache>
                <c:formatCode>#,##0\ "€"</c:formatCode>
                <c:ptCount val="3"/>
                <c:pt idx="0">
                  <c:v>59707</c:v>
                </c:pt>
                <c:pt idx="1">
                  <c:v>28065</c:v>
                </c:pt>
                <c:pt idx="2">
                  <c:v>15344</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EVOLUTION DES CHARGES D'EXPLOITATION</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numRef>
              <c:f>'Evolution 2016-2016'!$G$1:$I$1</c:f>
              <c:numCache>
                <c:formatCode>General</c:formatCode>
                <c:ptCount val="3"/>
                <c:pt idx="0">
                  <c:v>2014</c:v>
                </c:pt>
                <c:pt idx="1">
                  <c:v>2015</c:v>
                </c:pt>
                <c:pt idx="2">
                  <c:v>2016</c:v>
                </c:pt>
              </c:numCache>
            </c:numRef>
          </c:cat>
          <c:val>
            <c:numRef>
              <c:f>'Evolution 2016-2016'!$G$2:$I$2</c:f>
              <c:numCache>
                <c:formatCode>#,##0\ "€"</c:formatCode>
                <c:ptCount val="3"/>
                <c:pt idx="0">
                  <c:v>92275</c:v>
                </c:pt>
                <c:pt idx="1">
                  <c:v>87867</c:v>
                </c:pt>
                <c:pt idx="2">
                  <c:v>103116</c:v>
                </c:pt>
              </c:numCache>
            </c:numRef>
          </c:val>
        </c:ser>
        <c:dLbls>
          <c:dLblPos val="outEnd"/>
          <c:showLegendKey val="0"/>
          <c:showVal val="1"/>
          <c:showCatName val="0"/>
          <c:showSerName val="0"/>
          <c:showPercent val="0"/>
          <c:showBubbleSize val="0"/>
        </c:dLbls>
        <c:gapWidth val="219"/>
        <c:overlap val="-27"/>
        <c:axId val="444457720"/>
        <c:axId val="444458112"/>
      </c:barChart>
      <c:catAx>
        <c:axId val="444457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44458112"/>
        <c:crosses val="autoZero"/>
        <c:auto val="1"/>
        <c:lblAlgn val="ctr"/>
        <c:lblOffset val="100"/>
        <c:noMultiLvlLbl val="0"/>
      </c:catAx>
      <c:valAx>
        <c:axId val="444458112"/>
        <c:scaling>
          <c:orientation val="minMax"/>
        </c:scaling>
        <c:delete val="0"/>
        <c:axPos val="l"/>
        <c:majorGridlines>
          <c:spPr>
            <a:ln w="9525" cap="flat" cmpd="sng" algn="ctr">
              <a:solidFill>
                <a:schemeClr val="tx1">
                  <a:lumMod val="15000"/>
                  <a:lumOff val="85000"/>
                </a:schemeClr>
              </a:solidFill>
              <a:round/>
            </a:ln>
            <a:effectLst/>
          </c:spPr>
        </c:majorGridlines>
        <c:numFmt formatCode="#,##0\ &quot;€&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44457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8DFB0-4F5C-443D-84FB-2E209C1DC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1844</Words>
  <Characters>10148</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CNIL</Company>
  <LinksUpToDate>false</LinksUpToDate>
  <CharactersWithSpaces>11969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Floriane LECLERCQ</dc:creator>
  <cp:keywords/>
  <dc:description/>
  <cp:lastModifiedBy>REVEL Marine</cp:lastModifiedBy>
  <cp:revision>2</cp:revision>
  <cp:lastPrinted>2017-07-13T12:26:00Z</cp:lastPrinted>
  <dcterms:created xsi:type="dcterms:W3CDTF">2017-09-07T12:34:00Z</dcterms:created>
  <dcterms:modified xsi:type="dcterms:W3CDTF">2017-09-07T12:34:00Z</dcterms:modified>
</cp:coreProperties>
</file>